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F460" w14:textId="6A95DB52" w:rsidR="00F47FDE" w:rsidRPr="00876122" w:rsidRDefault="00F56C78" w:rsidP="00F47FDE">
      <w:pPr>
        <w:pStyle w:val="Pagedecouverture"/>
      </w:pPr>
      <w:r>
        <w:rPr>
          <w:noProof/>
          <w:lang w:val="fr-BE" w:eastAsia="fr-BE"/>
        </w:rPr>
        <w:drawing>
          <wp:inline distT="0" distB="0" distL="0" distR="0" wp14:anchorId="07EC9CD2" wp14:editId="52ADA4BD">
            <wp:extent cx="5743575" cy="4962525"/>
            <wp:effectExtent l="0" t="0" r="9525" b="0"/>
            <wp:docPr id="1" name="obrázek 1" descr="08EC76FF-C7D0-4B6F-BE03-71420CF6DC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EC76FF-C7D0-4B6F-BE03-71420CF6DCF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3575" cy="4962525"/>
                    </a:xfrm>
                    <a:prstGeom prst="rect">
                      <a:avLst/>
                    </a:prstGeom>
                    <a:noFill/>
                    <a:ln>
                      <a:noFill/>
                    </a:ln>
                  </pic:spPr>
                </pic:pic>
              </a:graphicData>
            </a:graphic>
          </wp:inline>
        </w:drawing>
      </w:r>
    </w:p>
    <w:p w14:paraId="04D7CBE3" w14:textId="77777777" w:rsidR="00F47FDE" w:rsidRPr="00876122" w:rsidRDefault="00F47FDE" w:rsidP="00F47FDE">
      <w:pPr>
        <w:sectPr w:rsidR="00F47FDE" w:rsidRPr="00876122" w:rsidSect="00302C2E">
          <w:footerReference w:type="even" r:id="rId9"/>
          <w:footerReference w:type="default" r:id="rId10"/>
          <w:pgSz w:w="11907" w:h="16839"/>
          <w:pgMar w:top="1134" w:right="1417" w:bottom="1134" w:left="1417" w:header="709" w:footer="709" w:gutter="0"/>
          <w:pgNumType w:start="0"/>
          <w:cols w:space="720"/>
          <w:docGrid w:linePitch="360"/>
        </w:sectPr>
      </w:pPr>
    </w:p>
    <w:p w14:paraId="65B5821A" w14:textId="12D29727" w:rsidR="00F47FDE" w:rsidRPr="00876122" w:rsidRDefault="00F47FDE" w:rsidP="00F47FDE">
      <w:pPr>
        <w:pStyle w:val="Annexetitre"/>
      </w:pPr>
      <w:r w:rsidRPr="00876122">
        <w:lastRenderedPageBreak/>
        <w:t>ANNEX</w:t>
      </w:r>
    </w:p>
    <w:p w14:paraId="7F4D19F3" w14:textId="728606BD" w:rsidR="00F47FDE" w:rsidRPr="00876122" w:rsidRDefault="00F47FDE" w:rsidP="00F47FDE">
      <w:pPr>
        <w:widowControl w:val="0"/>
        <w:shd w:val="clear" w:color="auto" w:fill="FFFFFF"/>
        <w:spacing w:before="0" w:after="900"/>
        <w:jc w:val="center"/>
        <w:rPr>
          <w:rFonts w:eastAsia="Times New Roman"/>
          <w:color w:val="000000"/>
          <w:szCs w:val="24"/>
          <w:lang w:eastAsia="hr-HR" w:bidi="hr-HR"/>
        </w:rPr>
      </w:pPr>
      <w:r w:rsidRPr="00876122">
        <w:rPr>
          <w:rFonts w:eastAsia="Times New Roman"/>
          <w:b/>
          <w:bCs/>
          <w:color w:val="000000"/>
          <w:szCs w:val="24"/>
          <w:lang w:eastAsia="hr-HR" w:bidi="hr-HR"/>
        </w:rPr>
        <w:t xml:space="preserve">Work programme </w:t>
      </w:r>
      <w:r w:rsidRPr="00876122">
        <w:rPr>
          <w:rFonts w:eastAsia="Times New Roman"/>
          <w:b/>
          <w:bCs/>
          <w:color w:val="000000"/>
          <w:szCs w:val="24"/>
          <w:lang w:eastAsia="bg-BG" w:bidi="bg-BG"/>
        </w:rPr>
        <w:t>2026-2027 for the Justice programme</w:t>
      </w:r>
    </w:p>
    <w:p w14:paraId="4BE97ECE" w14:textId="77777777" w:rsidR="00F47FDE" w:rsidRPr="00876122" w:rsidRDefault="00F47FDE" w:rsidP="00F47FDE">
      <w:pPr>
        <w:widowControl w:val="0"/>
        <w:shd w:val="clear" w:color="auto" w:fill="FFFFFF"/>
        <w:spacing w:before="0" w:after="40"/>
        <w:jc w:val="center"/>
        <w:rPr>
          <w:rFonts w:eastAsia="Times New Roman"/>
          <w:b/>
          <w:bCs/>
          <w:color w:val="000000"/>
          <w:sz w:val="28"/>
          <w:szCs w:val="28"/>
          <w:lang w:eastAsia="hr-HR" w:bidi="hr-HR"/>
        </w:rPr>
      </w:pPr>
      <w:r w:rsidRPr="00876122">
        <w:rPr>
          <w:rFonts w:eastAsia="Times New Roman"/>
          <w:b/>
          <w:bCs/>
          <w:color w:val="000000"/>
          <w:sz w:val="28"/>
          <w:szCs w:val="28"/>
          <w:lang w:eastAsia="hr-HR" w:bidi="hr-HR"/>
        </w:rPr>
        <w:t>Table of Contents</w:t>
      </w:r>
    </w:p>
    <w:p w14:paraId="780D7A95" w14:textId="65317B9E" w:rsidR="000C632E" w:rsidRDefault="00F47FDE" w:rsidP="000C632E">
      <w:pPr>
        <w:pStyle w:val="TOC1"/>
        <w:jc w:val="both"/>
        <w:rPr>
          <w:rFonts w:asciiTheme="minorHAnsi" w:eastAsiaTheme="minorEastAsia" w:hAnsiTheme="minorHAnsi" w:cstheme="minorBidi"/>
          <w:noProof/>
          <w:kern w:val="2"/>
          <w:szCs w:val="24"/>
          <w:lang w:val="en-US"/>
          <w14:ligatures w14:val="standardContextual"/>
        </w:rPr>
      </w:pPr>
      <w:r w:rsidRPr="00876122">
        <w:rPr>
          <w:rFonts w:eastAsia="Times New Roman"/>
          <w:b/>
          <w:bCs/>
          <w:color w:val="000000"/>
          <w:szCs w:val="24"/>
          <w:lang w:eastAsia="bg-BG" w:bidi="bg-BG"/>
        </w:rPr>
        <w:fldChar w:fldCharType="begin"/>
      </w:r>
      <w:r w:rsidRPr="00876122">
        <w:rPr>
          <w:rFonts w:eastAsia="Times New Roman"/>
          <w:b/>
          <w:bCs/>
          <w:color w:val="000000"/>
          <w:szCs w:val="24"/>
          <w:lang w:eastAsia="bg-BG" w:bidi="bg-BG"/>
        </w:rPr>
        <w:instrText xml:space="preserve"> TOC \o "1-5" \h \z </w:instrText>
      </w:r>
      <w:r w:rsidRPr="00876122">
        <w:rPr>
          <w:rFonts w:eastAsia="Times New Roman"/>
          <w:b/>
          <w:bCs/>
          <w:color w:val="000000"/>
          <w:szCs w:val="24"/>
          <w:lang w:eastAsia="bg-BG" w:bidi="bg-BG"/>
        </w:rPr>
        <w:fldChar w:fldCharType="separate"/>
      </w:r>
      <w:hyperlink w:anchor="_Toc205461080" w:history="1">
        <w:r w:rsidR="000C632E" w:rsidRPr="004F7F29">
          <w:rPr>
            <w:rStyle w:val="Hyperlink"/>
            <w:rFonts w:eastAsia="Times New Roman"/>
            <w:noProof/>
            <w:lang w:eastAsia="hr-HR" w:bidi="hr-HR"/>
          </w:rPr>
          <w:t>1.</w:t>
        </w:r>
        <w:r w:rsidR="000C632E">
          <w:rPr>
            <w:rFonts w:asciiTheme="minorHAnsi" w:eastAsiaTheme="minorEastAsia" w:hAnsiTheme="minorHAnsi" w:cstheme="minorBidi"/>
            <w:noProof/>
            <w:kern w:val="2"/>
            <w:szCs w:val="24"/>
            <w:lang w:val="en-US"/>
            <w14:ligatures w14:val="standardContextual"/>
          </w:rPr>
          <w:tab/>
        </w:r>
        <w:r w:rsidR="000C632E" w:rsidRPr="004F7F29">
          <w:rPr>
            <w:rStyle w:val="Hyperlink"/>
            <w:rFonts w:eastAsia="Times New Roman"/>
            <w:noProof/>
            <w:lang w:eastAsia="hr-HR" w:bidi="hr-HR"/>
          </w:rPr>
          <w:t>Introduction</w:t>
        </w:r>
        <w:r w:rsidR="000C632E">
          <w:rPr>
            <w:noProof/>
            <w:webHidden/>
          </w:rPr>
          <w:tab/>
        </w:r>
        <w:r w:rsidR="000C632E">
          <w:rPr>
            <w:noProof/>
            <w:webHidden/>
          </w:rPr>
          <w:fldChar w:fldCharType="begin"/>
        </w:r>
        <w:r w:rsidR="000C632E">
          <w:rPr>
            <w:noProof/>
            <w:webHidden/>
          </w:rPr>
          <w:instrText xml:space="preserve"> PAGEREF _Toc205461080 \h </w:instrText>
        </w:r>
        <w:r w:rsidR="000C632E">
          <w:rPr>
            <w:noProof/>
            <w:webHidden/>
          </w:rPr>
        </w:r>
        <w:r w:rsidR="000C632E">
          <w:rPr>
            <w:noProof/>
            <w:webHidden/>
          </w:rPr>
          <w:fldChar w:fldCharType="separate"/>
        </w:r>
        <w:r w:rsidR="00302C2E">
          <w:rPr>
            <w:noProof/>
            <w:webHidden/>
          </w:rPr>
          <w:t>2</w:t>
        </w:r>
        <w:r w:rsidR="000C632E">
          <w:rPr>
            <w:noProof/>
            <w:webHidden/>
          </w:rPr>
          <w:fldChar w:fldCharType="end"/>
        </w:r>
      </w:hyperlink>
    </w:p>
    <w:p w14:paraId="3824AD4D" w14:textId="257AA369" w:rsidR="000C632E" w:rsidRDefault="000C632E">
      <w:pPr>
        <w:pStyle w:val="TOC1"/>
        <w:rPr>
          <w:rFonts w:asciiTheme="minorHAnsi" w:eastAsiaTheme="minorEastAsia" w:hAnsiTheme="minorHAnsi" w:cstheme="minorBidi"/>
          <w:noProof/>
          <w:kern w:val="2"/>
          <w:szCs w:val="24"/>
          <w:lang w:val="en-US"/>
          <w14:ligatures w14:val="standardContextual"/>
        </w:rPr>
      </w:pPr>
      <w:hyperlink w:anchor="_Toc205461081" w:history="1">
        <w:r w:rsidRPr="004F7F29">
          <w:rPr>
            <w:rStyle w:val="Hyperlink"/>
            <w:rFonts w:eastAsia="Times New Roman"/>
            <w:noProof/>
            <w:lang w:eastAsia="hr-HR" w:bidi="hr-HR"/>
          </w:rPr>
          <w:t>2.</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Grants</w:t>
        </w:r>
        <w:r>
          <w:rPr>
            <w:noProof/>
            <w:webHidden/>
          </w:rPr>
          <w:tab/>
        </w:r>
        <w:r>
          <w:rPr>
            <w:noProof/>
            <w:webHidden/>
          </w:rPr>
          <w:fldChar w:fldCharType="begin"/>
        </w:r>
        <w:r>
          <w:rPr>
            <w:noProof/>
            <w:webHidden/>
          </w:rPr>
          <w:instrText xml:space="preserve"> PAGEREF _Toc205461081 \h </w:instrText>
        </w:r>
        <w:r>
          <w:rPr>
            <w:noProof/>
            <w:webHidden/>
          </w:rPr>
        </w:r>
        <w:r>
          <w:rPr>
            <w:noProof/>
            <w:webHidden/>
          </w:rPr>
          <w:fldChar w:fldCharType="separate"/>
        </w:r>
        <w:r w:rsidR="00302C2E">
          <w:rPr>
            <w:noProof/>
            <w:webHidden/>
          </w:rPr>
          <w:t>10</w:t>
        </w:r>
        <w:r>
          <w:rPr>
            <w:noProof/>
            <w:webHidden/>
          </w:rPr>
          <w:fldChar w:fldCharType="end"/>
        </w:r>
      </w:hyperlink>
    </w:p>
    <w:p w14:paraId="72193EE8" w14:textId="4390BC8B"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2" w:history="1">
        <w:r w:rsidRPr="004F7F29">
          <w:rPr>
            <w:rStyle w:val="Hyperlink"/>
            <w:rFonts w:eastAsia="Times New Roman"/>
            <w:noProof/>
            <w:lang w:eastAsia="hr-HR" w:bidi="hr-HR"/>
          </w:rPr>
          <w:t>2.1.</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Call for proposals for action grants to promote judicial cooperation in civil and criminal matters</w:t>
        </w:r>
        <w:r>
          <w:rPr>
            <w:noProof/>
            <w:webHidden/>
          </w:rPr>
          <w:tab/>
        </w:r>
        <w:r>
          <w:rPr>
            <w:noProof/>
            <w:webHidden/>
          </w:rPr>
          <w:fldChar w:fldCharType="begin"/>
        </w:r>
        <w:r>
          <w:rPr>
            <w:noProof/>
            <w:webHidden/>
          </w:rPr>
          <w:instrText xml:space="preserve"> PAGEREF _Toc205461082 \h </w:instrText>
        </w:r>
        <w:r>
          <w:rPr>
            <w:noProof/>
            <w:webHidden/>
          </w:rPr>
        </w:r>
        <w:r>
          <w:rPr>
            <w:noProof/>
            <w:webHidden/>
          </w:rPr>
          <w:fldChar w:fldCharType="separate"/>
        </w:r>
        <w:r w:rsidR="00302C2E">
          <w:rPr>
            <w:noProof/>
            <w:webHidden/>
          </w:rPr>
          <w:t>10</w:t>
        </w:r>
        <w:r>
          <w:rPr>
            <w:noProof/>
            <w:webHidden/>
          </w:rPr>
          <w:fldChar w:fldCharType="end"/>
        </w:r>
      </w:hyperlink>
    </w:p>
    <w:p w14:paraId="4D8F459D" w14:textId="21770878"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3" w:history="1">
        <w:r w:rsidRPr="004F7F29">
          <w:rPr>
            <w:rStyle w:val="Hyperlink"/>
            <w:rFonts w:eastAsia="Times New Roman"/>
            <w:noProof/>
            <w:lang w:eastAsia="hr-HR" w:bidi="hr-HR"/>
          </w:rPr>
          <w:t>2.2.</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 xml:space="preserve">Operating grants for </w:t>
        </w:r>
        <w:r w:rsidRPr="004F7F29">
          <w:rPr>
            <w:rStyle w:val="Hyperlink"/>
            <w:rFonts w:eastAsia="Times New Roman"/>
            <w:noProof/>
            <w:lang w:eastAsia="bg-BG" w:bidi="bg-BG"/>
          </w:rPr>
          <w:t xml:space="preserve">2027 and 2028 </w:t>
        </w:r>
        <w:r w:rsidRPr="004F7F29">
          <w:rPr>
            <w:rStyle w:val="Hyperlink"/>
            <w:rFonts w:eastAsia="Times New Roman"/>
            <w:noProof/>
            <w:lang w:eastAsia="hr-HR" w:bidi="hr-HR"/>
          </w:rPr>
          <w:t>under Framework Partnership Agreements in the area of facilitating and supporting judicial cooperation in civil and/or criminal matters and/or in the area of access to justice</w:t>
        </w:r>
        <w:r>
          <w:rPr>
            <w:noProof/>
            <w:webHidden/>
          </w:rPr>
          <w:tab/>
        </w:r>
        <w:r>
          <w:rPr>
            <w:noProof/>
            <w:webHidden/>
          </w:rPr>
          <w:fldChar w:fldCharType="begin"/>
        </w:r>
        <w:r>
          <w:rPr>
            <w:noProof/>
            <w:webHidden/>
          </w:rPr>
          <w:instrText xml:space="preserve"> PAGEREF _Toc205461083 \h </w:instrText>
        </w:r>
        <w:r>
          <w:rPr>
            <w:noProof/>
            <w:webHidden/>
          </w:rPr>
        </w:r>
        <w:r>
          <w:rPr>
            <w:noProof/>
            <w:webHidden/>
          </w:rPr>
          <w:fldChar w:fldCharType="separate"/>
        </w:r>
        <w:r w:rsidR="00302C2E">
          <w:rPr>
            <w:noProof/>
            <w:webHidden/>
          </w:rPr>
          <w:t>12</w:t>
        </w:r>
        <w:r>
          <w:rPr>
            <w:noProof/>
            <w:webHidden/>
          </w:rPr>
          <w:fldChar w:fldCharType="end"/>
        </w:r>
      </w:hyperlink>
    </w:p>
    <w:p w14:paraId="0C6E7147" w14:textId="24248CD9"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4" w:history="1">
        <w:r w:rsidRPr="004F7F29">
          <w:rPr>
            <w:rStyle w:val="Hyperlink"/>
            <w:rFonts w:eastAsia="Times New Roman"/>
            <w:noProof/>
            <w:lang w:eastAsia="hr-HR" w:bidi="hr-HR"/>
          </w:rPr>
          <w:t>2.3.</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Call for proposals for action grants to support transnational projects on judicial training covering civil law, criminal law or fundamental rights</w:t>
        </w:r>
        <w:r>
          <w:rPr>
            <w:noProof/>
            <w:webHidden/>
          </w:rPr>
          <w:tab/>
        </w:r>
        <w:r>
          <w:rPr>
            <w:noProof/>
            <w:webHidden/>
          </w:rPr>
          <w:fldChar w:fldCharType="begin"/>
        </w:r>
        <w:r>
          <w:rPr>
            <w:noProof/>
            <w:webHidden/>
          </w:rPr>
          <w:instrText xml:space="preserve"> PAGEREF _Toc205461084 \h </w:instrText>
        </w:r>
        <w:r>
          <w:rPr>
            <w:noProof/>
            <w:webHidden/>
          </w:rPr>
        </w:r>
        <w:r>
          <w:rPr>
            <w:noProof/>
            <w:webHidden/>
          </w:rPr>
          <w:fldChar w:fldCharType="separate"/>
        </w:r>
        <w:r w:rsidR="00302C2E">
          <w:rPr>
            <w:noProof/>
            <w:webHidden/>
          </w:rPr>
          <w:t>15</w:t>
        </w:r>
        <w:r>
          <w:rPr>
            <w:noProof/>
            <w:webHidden/>
          </w:rPr>
          <w:fldChar w:fldCharType="end"/>
        </w:r>
      </w:hyperlink>
    </w:p>
    <w:p w14:paraId="03FC7116" w14:textId="051CBBC0"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5" w:history="1">
        <w:r w:rsidRPr="004F7F29">
          <w:rPr>
            <w:rStyle w:val="Hyperlink"/>
            <w:rFonts w:eastAsia="Times New Roman"/>
            <w:noProof/>
            <w:lang w:eastAsia="hr-HR" w:bidi="hr-HR"/>
          </w:rPr>
          <w:t>2.4.</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 xml:space="preserve">Operating grant to beneficiary identified in the basic act </w:t>
        </w:r>
        <w:r w:rsidRPr="004F7F29">
          <w:rPr>
            <w:rStyle w:val="Hyperlink"/>
            <w:rFonts w:eastAsia="Times New Roman"/>
            <w:noProof/>
            <w:lang w:eastAsia="bg-BG" w:bidi="bg-BG"/>
          </w:rPr>
          <w:t>(</w:t>
        </w:r>
        <w:r w:rsidRPr="004F7F29">
          <w:rPr>
            <w:rStyle w:val="Hyperlink"/>
            <w:rFonts w:eastAsia="Times New Roman"/>
            <w:noProof/>
            <w:lang w:eastAsia="hr-HR" w:bidi="hr-HR"/>
          </w:rPr>
          <w:t>EJTN)</w:t>
        </w:r>
        <w:r>
          <w:rPr>
            <w:noProof/>
            <w:webHidden/>
          </w:rPr>
          <w:tab/>
        </w:r>
        <w:r>
          <w:rPr>
            <w:noProof/>
            <w:webHidden/>
          </w:rPr>
          <w:fldChar w:fldCharType="begin"/>
        </w:r>
        <w:r>
          <w:rPr>
            <w:noProof/>
            <w:webHidden/>
          </w:rPr>
          <w:instrText xml:space="preserve"> PAGEREF _Toc205461085 \h </w:instrText>
        </w:r>
        <w:r>
          <w:rPr>
            <w:noProof/>
            <w:webHidden/>
          </w:rPr>
        </w:r>
        <w:r>
          <w:rPr>
            <w:noProof/>
            <w:webHidden/>
          </w:rPr>
          <w:fldChar w:fldCharType="separate"/>
        </w:r>
        <w:r w:rsidR="00302C2E">
          <w:rPr>
            <w:noProof/>
            <w:webHidden/>
          </w:rPr>
          <w:t>16</w:t>
        </w:r>
        <w:r>
          <w:rPr>
            <w:noProof/>
            <w:webHidden/>
          </w:rPr>
          <w:fldChar w:fldCharType="end"/>
        </w:r>
      </w:hyperlink>
    </w:p>
    <w:p w14:paraId="068B06A1" w14:textId="5D6A2562"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6" w:history="1">
        <w:r w:rsidRPr="004F7F29">
          <w:rPr>
            <w:rStyle w:val="Hyperlink"/>
            <w:rFonts w:eastAsia="Times New Roman"/>
            <w:noProof/>
            <w:lang w:eastAsia="hr-HR" w:bidi="hr-HR"/>
          </w:rPr>
          <w:t>2.5.</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Call for proposals for action grants to support transnational projects in the fields of e-Justice, victims’ rights and procedural rights</w:t>
        </w:r>
        <w:r>
          <w:rPr>
            <w:noProof/>
            <w:webHidden/>
          </w:rPr>
          <w:tab/>
        </w:r>
        <w:r>
          <w:rPr>
            <w:noProof/>
            <w:webHidden/>
          </w:rPr>
          <w:fldChar w:fldCharType="begin"/>
        </w:r>
        <w:r>
          <w:rPr>
            <w:noProof/>
            <w:webHidden/>
          </w:rPr>
          <w:instrText xml:space="preserve"> PAGEREF _Toc205461086 \h </w:instrText>
        </w:r>
        <w:r>
          <w:rPr>
            <w:noProof/>
            <w:webHidden/>
          </w:rPr>
        </w:r>
        <w:r>
          <w:rPr>
            <w:noProof/>
            <w:webHidden/>
          </w:rPr>
          <w:fldChar w:fldCharType="separate"/>
        </w:r>
        <w:r w:rsidR="00302C2E">
          <w:rPr>
            <w:noProof/>
            <w:webHidden/>
          </w:rPr>
          <w:t>17</w:t>
        </w:r>
        <w:r>
          <w:rPr>
            <w:noProof/>
            <w:webHidden/>
          </w:rPr>
          <w:fldChar w:fldCharType="end"/>
        </w:r>
      </w:hyperlink>
    </w:p>
    <w:p w14:paraId="1E89F35B" w14:textId="5BC90AF6" w:rsidR="000C632E" w:rsidRDefault="000C632E">
      <w:pPr>
        <w:pStyle w:val="TOC1"/>
        <w:rPr>
          <w:rFonts w:asciiTheme="minorHAnsi" w:eastAsiaTheme="minorEastAsia" w:hAnsiTheme="minorHAnsi" w:cstheme="minorBidi"/>
          <w:noProof/>
          <w:kern w:val="2"/>
          <w:szCs w:val="24"/>
          <w:lang w:val="en-US"/>
          <w14:ligatures w14:val="standardContextual"/>
        </w:rPr>
      </w:pPr>
      <w:hyperlink w:anchor="_Toc205461087" w:history="1">
        <w:r w:rsidRPr="004F7F29">
          <w:rPr>
            <w:rStyle w:val="Hyperlink"/>
            <w:rFonts w:eastAsia="Times New Roman"/>
            <w:noProof/>
            <w:lang w:eastAsia="hr-HR" w:bidi="hr-HR"/>
          </w:rPr>
          <w:t>3.</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Procurement</w:t>
        </w:r>
        <w:r>
          <w:rPr>
            <w:noProof/>
            <w:webHidden/>
          </w:rPr>
          <w:tab/>
        </w:r>
        <w:r>
          <w:rPr>
            <w:noProof/>
            <w:webHidden/>
          </w:rPr>
          <w:fldChar w:fldCharType="begin"/>
        </w:r>
        <w:r>
          <w:rPr>
            <w:noProof/>
            <w:webHidden/>
          </w:rPr>
          <w:instrText xml:space="preserve"> PAGEREF _Toc205461087 \h </w:instrText>
        </w:r>
        <w:r>
          <w:rPr>
            <w:noProof/>
            <w:webHidden/>
          </w:rPr>
        </w:r>
        <w:r>
          <w:rPr>
            <w:noProof/>
            <w:webHidden/>
          </w:rPr>
          <w:fldChar w:fldCharType="separate"/>
        </w:r>
        <w:r w:rsidR="00302C2E">
          <w:rPr>
            <w:noProof/>
            <w:webHidden/>
          </w:rPr>
          <w:t>19</w:t>
        </w:r>
        <w:r>
          <w:rPr>
            <w:noProof/>
            <w:webHidden/>
          </w:rPr>
          <w:fldChar w:fldCharType="end"/>
        </w:r>
      </w:hyperlink>
    </w:p>
    <w:p w14:paraId="2D49AB9F" w14:textId="53A833F9"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8" w:history="1">
        <w:r w:rsidRPr="004F7F29">
          <w:rPr>
            <w:rStyle w:val="Hyperlink"/>
            <w:rFonts w:eastAsia="Times New Roman"/>
            <w:noProof/>
            <w:lang w:eastAsia="hr-HR" w:bidi="hr-HR"/>
          </w:rPr>
          <w:t>3.1.</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Procurement activities under Specific objective: judicial cooperation in civil and criminal matters</w:t>
        </w:r>
        <w:r>
          <w:rPr>
            <w:noProof/>
            <w:webHidden/>
          </w:rPr>
          <w:tab/>
        </w:r>
        <w:r>
          <w:rPr>
            <w:noProof/>
            <w:webHidden/>
          </w:rPr>
          <w:fldChar w:fldCharType="begin"/>
        </w:r>
        <w:r>
          <w:rPr>
            <w:noProof/>
            <w:webHidden/>
          </w:rPr>
          <w:instrText xml:space="preserve"> PAGEREF _Toc205461088 \h </w:instrText>
        </w:r>
        <w:r>
          <w:rPr>
            <w:noProof/>
            <w:webHidden/>
          </w:rPr>
        </w:r>
        <w:r>
          <w:rPr>
            <w:noProof/>
            <w:webHidden/>
          </w:rPr>
          <w:fldChar w:fldCharType="separate"/>
        </w:r>
        <w:r w:rsidR="00302C2E">
          <w:rPr>
            <w:noProof/>
            <w:webHidden/>
          </w:rPr>
          <w:t>19</w:t>
        </w:r>
        <w:r>
          <w:rPr>
            <w:noProof/>
            <w:webHidden/>
          </w:rPr>
          <w:fldChar w:fldCharType="end"/>
        </w:r>
      </w:hyperlink>
    </w:p>
    <w:p w14:paraId="7E49CA20" w14:textId="58FC7A01"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89" w:history="1">
        <w:r w:rsidRPr="004F7F29">
          <w:rPr>
            <w:rStyle w:val="Hyperlink"/>
            <w:rFonts w:eastAsia="Times New Roman"/>
            <w:noProof/>
            <w:lang w:eastAsia="hr-HR" w:bidi="hr-HR"/>
          </w:rPr>
          <w:t>3.2.</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Procurement activities under Specific objective: judicial training</w:t>
        </w:r>
        <w:r>
          <w:rPr>
            <w:noProof/>
            <w:webHidden/>
          </w:rPr>
          <w:tab/>
        </w:r>
        <w:r>
          <w:rPr>
            <w:noProof/>
            <w:webHidden/>
          </w:rPr>
          <w:fldChar w:fldCharType="begin"/>
        </w:r>
        <w:r>
          <w:rPr>
            <w:noProof/>
            <w:webHidden/>
          </w:rPr>
          <w:instrText xml:space="preserve"> PAGEREF _Toc205461089 \h </w:instrText>
        </w:r>
        <w:r>
          <w:rPr>
            <w:noProof/>
            <w:webHidden/>
          </w:rPr>
        </w:r>
        <w:r>
          <w:rPr>
            <w:noProof/>
            <w:webHidden/>
          </w:rPr>
          <w:fldChar w:fldCharType="separate"/>
        </w:r>
        <w:r w:rsidR="00302C2E">
          <w:rPr>
            <w:noProof/>
            <w:webHidden/>
          </w:rPr>
          <w:t>21</w:t>
        </w:r>
        <w:r>
          <w:rPr>
            <w:noProof/>
            <w:webHidden/>
          </w:rPr>
          <w:fldChar w:fldCharType="end"/>
        </w:r>
      </w:hyperlink>
    </w:p>
    <w:p w14:paraId="6FDC25E2" w14:textId="27C7DECE"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90" w:history="1">
        <w:r w:rsidRPr="004F7F29">
          <w:rPr>
            <w:rStyle w:val="Hyperlink"/>
            <w:rFonts w:eastAsia="Times New Roman"/>
            <w:noProof/>
            <w:lang w:eastAsia="hr-HR" w:bidi="hr-HR"/>
          </w:rPr>
          <w:t>3.3.</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Procurement activities under Specific objective: access to justice</w:t>
        </w:r>
        <w:r>
          <w:rPr>
            <w:noProof/>
            <w:webHidden/>
          </w:rPr>
          <w:tab/>
        </w:r>
        <w:r>
          <w:rPr>
            <w:noProof/>
            <w:webHidden/>
          </w:rPr>
          <w:fldChar w:fldCharType="begin"/>
        </w:r>
        <w:r>
          <w:rPr>
            <w:noProof/>
            <w:webHidden/>
          </w:rPr>
          <w:instrText xml:space="preserve"> PAGEREF _Toc205461090 \h </w:instrText>
        </w:r>
        <w:r>
          <w:rPr>
            <w:noProof/>
            <w:webHidden/>
          </w:rPr>
        </w:r>
        <w:r>
          <w:rPr>
            <w:noProof/>
            <w:webHidden/>
          </w:rPr>
          <w:fldChar w:fldCharType="separate"/>
        </w:r>
        <w:r w:rsidR="00302C2E">
          <w:rPr>
            <w:noProof/>
            <w:webHidden/>
          </w:rPr>
          <w:t>22</w:t>
        </w:r>
        <w:r>
          <w:rPr>
            <w:noProof/>
            <w:webHidden/>
          </w:rPr>
          <w:fldChar w:fldCharType="end"/>
        </w:r>
      </w:hyperlink>
    </w:p>
    <w:p w14:paraId="6BA63D78" w14:textId="618B42C8" w:rsidR="000C632E" w:rsidRDefault="000C632E">
      <w:pPr>
        <w:pStyle w:val="TOC1"/>
        <w:rPr>
          <w:rFonts w:asciiTheme="minorHAnsi" w:eastAsiaTheme="minorEastAsia" w:hAnsiTheme="minorHAnsi" w:cstheme="minorBidi"/>
          <w:noProof/>
          <w:kern w:val="2"/>
          <w:szCs w:val="24"/>
          <w:lang w:val="en-US"/>
          <w14:ligatures w14:val="standardContextual"/>
        </w:rPr>
      </w:pPr>
      <w:hyperlink w:anchor="_Toc205461091" w:history="1">
        <w:r w:rsidRPr="004F7F29">
          <w:rPr>
            <w:rStyle w:val="Hyperlink"/>
            <w:rFonts w:eastAsia="Times New Roman"/>
            <w:noProof/>
            <w:lang w:eastAsia="hr-HR" w:bidi="hr-HR"/>
          </w:rPr>
          <w:t>4.</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Actions implemented under indirect management</w:t>
        </w:r>
        <w:r>
          <w:rPr>
            <w:noProof/>
            <w:webHidden/>
          </w:rPr>
          <w:tab/>
        </w:r>
        <w:r>
          <w:rPr>
            <w:noProof/>
            <w:webHidden/>
          </w:rPr>
          <w:fldChar w:fldCharType="begin"/>
        </w:r>
        <w:r>
          <w:rPr>
            <w:noProof/>
            <w:webHidden/>
          </w:rPr>
          <w:instrText xml:space="preserve"> PAGEREF _Toc205461091 \h </w:instrText>
        </w:r>
        <w:r>
          <w:rPr>
            <w:noProof/>
            <w:webHidden/>
          </w:rPr>
        </w:r>
        <w:r>
          <w:rPr>
            <w:noProof/>
            <w:webHidden/>
          </w:rPr>
          <w:fldChar w:fldCharType="separate"/>
        </w:r>
        <w:r w:rsidR="00302C2E">
          <w:rPr>
            <w:noProof/>
            <w:webHidden/>
          </w:rPr>
          <w:t>24</w:t>
        </w:r>
        <w:r>
          <w:rPr>
            <w:noProof/>
            <w:webHidden/>
          </w:rPr>
          <w:fldChar w:fldCharType="end"/>
        </w:r>
      </w:hyperlink>
    </w:p>
    <w:p w14:paraId="639113DC" w14:textId="79A2ED87"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92" w:history="1">
        <w:r w:rsidRPr="004F7F29">
          <w:rPr>
            <w:rStyle w:val="Hyperlink"/>
            <w:rFonts w:eastAsia="Times New Roman"/>
            <w:noProof/>
            <w:lang w:eastAsia="hr-HR" w:bidi="hr-HR"/>
          </w:rPr>
          <w:t>4.1.</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Support to the Council of Europe for the EU network of prison monitoring bodies</w:t>
        </w:r>
        <w:r>
          <w:rPr>
            <w:noProof/>
            <w:webHidden/>
          </w:rPr>
          <w:tab/>
        </w:r>
        <w:r>
          <w:rPr>
            <w:noProof/>
            <w:webHidden/>
          </w:rPr>
          <w:fldChar w:fldCharType="begin"/>
        </w:r>
        <w:r>
          <w:rPr>
            <w:noProof/>
            <w:webHidden/>
          </w:rPr>
          <w:instrText xml:space="preserve"> PAGEREF _Toc205461092 \h </w:instrText>
        </w:r>
        <w:r>
          <w:rPr>
            <w:noProof/>
            <w:webHidden/>
          </w:rPr>
        </w:r>
        <w:r>
          <w:rPr>
            <w:noProof/>
            <w:webHidden/>
          </w:rPr>
          <w:fldChar w:fldCharType="separate"/>
        </w:r>
        <w:r w:rsidR="00302C2E">
          <w:rPr>
            <w:noProof/>
            <w:webHidden/>
          </w:rPr>
          <w:t>24</w:t>
        </w:r>
        <w:r>
          <w:rPr>
            <w:noProof/>
            <w:webHidden/>
          </w:rPr>
          <w:fldChar w:fldCharType="end"/>
        </w:r>
      </w:hyperlink>
    </w:p>
    <w:p w14:paraId="4FB3D515" w14:textId="02767F23"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93" w:history="1">
        <w:r w:rsidRPr="004F7F29">
          <w:rPr>
            <w:rStyle w:val="Hyperlink"/>
            <w:rFonts w:eastAsia="Times New Roman"/>
            <w:noProof/>
            <w:lang w:eastAsia="hr-HR" w:bidi="hr-HR"/>
          </w:rPr>
          <w:t>4.2.</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Support to the Council of Europe for the EU Justice Scoreboard</w:t>
        </w:r>
        <w:r>
          <w:rPr>
            <w:noProof/>
            <w:webHidden/>
          </w:rPr>
          <w:tab/>
        </w:r>
        <w:r>
          <w:rPr>
            <w:noProof/>
            <w:webHidden/>
          </w:rPr>
          <w:fldChar w:fldCharType="begin"/>
        </w:r>
        <w:r>
          <w:rPr>
            <w:noProof/>
            <w:webHidden/>
          </w:rPr>
          <w:instrText xml:space="preserve"> PAGEREF _Toc205461093 \h </w:instrText>
        </w:r>
        <w:r>
          <w:rPr>
            <w:noProof/>
            <w:webHidden/>
          </w:rPr>
        </w:r>
        <w:r>
          <w:rPr>
            <w:noProof/>
            <w:webHidden/>
          </w:rPr>
          <w:fldChar w:fldCharType="separate"/>
        </w:r>
        <w:r w:rsidR="00302C2E">
          <w:rPr>
            <w:noProof/>
            <w:webHidden/>
          </w:rPr>
          <w:t>25</w:t>
        </w:r>
        <w:r>
          <w:rPr>
            <w:noProof/>
            <w:webHidden/>
          </w:rPr>
          <w:fldChar w:fldCharType="end"/>
        </w:r>
      </w:hyperlink>
    </w:p>
    <w:p w14:paraId="410271A0" w14:textId="45FB8E5B"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94" w:history="1">
        <w:r w:rsidRPr="004F7F29">
          <w:rPr>
            <w:rStyle w:val="Hyperlink"/>
            <w:rFonts w:eastAsia="Times New Roman"/>
            <w:noProof/>
            <w:lang w:eastAsia="hr-HR" w:bidi="hr-HR"/>
          </w:rPr>
          <w:t>4.3.</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Support for the Council of Europe’s project on child-friendly justice (Phase II)</w:t>
        </w:r>
        <w:r>
          <w:rPr>
            <w:noProof/>
            <w:webHidden/>
          </w:rPr>
          <w:tab/>
        </w:r>
        <w:r>
          <w:rPr>
            <w:noProof/>
            <w:webHidden/>
          </w:rPr>
          <w:fldChar w:fldCharType="begin"/>
        </w:r>
        <w:r>
          <w:rPr>
            <w:noProof/>
            <w:webHidden/>
          </w:rPr>
          <w:instrText xml:space="preserve"> PAGEREF _Toc205461094 \h </w:instrText>
        </w:r>
        <w:r>
          <w:rPr>
            <w:noProof/>
            <w:webHidden/>
          </w:rPr>
        </w:r>
        <w:r>
          <w:rPr>
            <w:noProof/>
            <w:webHidden/>
          </w:rPr>
          <w:fldChar w:fldCharType="separate"/>
        </w:r>
        <w:r w:rsidR="00302C2E">
          <w:rPr>
            <w:noProof/>
            <w:webHidden/>
          </w:rPr>
          <w:t>26</w:t>
        </w:r>
        <w:r>
          <w:rPr>
            <w:noProof/>
            <w:webHidden/>
          </w:rPr>
          <w:fldChar w:fldCharType="end"/>
        </w:r>
      </w:hyperlink>
    </w:p>
    <w:p w14:paraId="15CDEFA7" w14:textId="7D77FFC5" w:rsidR="000C632E" w:rsidRDefault="000C632E">
      <w:pPr>
        <w:pStyle w:val="TOC1"/>
        <w:rPr>
          <w:rFonts w:asciiTheme="minorHAnsi" w:eastAsiaTheme="minorEastAsia" w:hAnsiTheme="minorHAnsi" w:cstheme="minorBidi"/>
          <w:noProof/>
          <w:kern w:val="2"/>
          <w:szCs w:val="24"/>
          <w:lang w:val="en-US"/>
          <w14:ligatures w14:val="standardContextual"/>
        </w:rPr>
      </w:pPr>
      <w:hyperlink w:anchor="_Toc205461095" w:history="1">
        <w:r w:rsidRPr="004F7F29">
          <w:rPr>
            <w:rStyle w:val="Hyperlink"/>
            <w:rFonts w:eastAsia="Times New Roman"/>
            <w:noProof/>
            <w:lang w:eastAsia="hr-HR" w:bidi="hr-HR"/>
          </w:rPr>
          <w:t>5.</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Other actions or expenditure</w:t>
        </w:r>
        <w:r>
          <w:rPr>
            <w:noProof/>
            <w:webHidden/>
          </w:rPr>
          <w:tab/>
        </w:r>
        <w:r>
          <w:rPr>
            <w:noProof/>
            <w:webHidden/>
          </w:rPr>
          <w:fldChar w:fldCharType="begin"/>
        </w:r>
        <w:r>
          <w:rPr>
            <w:noProof/>
            <w:webHidden/>
          </w:rPr>
          <w:instrText xml:space="preserve"> PAGEREF _Toc205461095 \h </w:instrText>
        </w:r>
        <w:r>
          <w:rPr>
            <w:noProof/>
            <w:webHidden/>
          </w:rPr>
        </w:r>
        <w:r>
          <w:rPr>
            <w:noProof/>
            <w:webHidden/>
          </w:rPr>
          <w:fldChar w:fldCharType="separate"/>
        </w:r>
        <w:r w:rsidR="00302C2E">
          <w:rPr>
            <w:noProof/>
            <w:webHidden/>
          </w:rPr>
          <w:t>27</w:t>
        </w:r>
        <w:r>
          <w:rPr>
            <w:noProof/>
            <w:webHidden/>
          </w:rPr>
          <w:fldChar w:fldCharType="end"/>
        </w:r>
      </w:hyperlink>
    </w:p>
    <w:p w14:paraId="186F9C0F" w14:textId="216DE66D" w:rsidR="000C632E" w:rsidRDefault="000C632E">
      <w:pPr>
        <w:pStyle w:val="TOC2"/>
        <w:rPr>
          <w:rFonts w:asciiTheme="minorHAnsi" w:eastAsiaTheme="minorEastAsia" w:hAnsiTheme="minorHAnsi" w:cstheme="minorBidi"/>
          <w:noProof/>
          <w:kern w:val="2"/>
          <w:szCs w:val="24"/>
          <w:lang w:val="en-US"/>
          <w14:ligatures w14:val="standardContextual"/>
        </w:rPr>
      </w:pPr>
      <w:hyperlink w:anchor="_Toc205461096" w:history="1">
        <w:r w:rsidRPr="004F7F29">
          <w:rPr>
            <w:rStyle w:val="Hyperlink"/>
            <w:rFonts w:eastAsia="Times New Roman"/>
            <w:noProof/>
            <w:lang w:eastAsia="hr-HR" w:bidi="hr-HR"/>
          </w:rPr>
          <w:t>5.1.</w:t>
        </w:r>
        <w:r>
          <w:rPr>
            <w:rFonts w:asciiTheme="minorHAnsi" w:eastAsiaTheme="minorEastAsia" w:hAnsiTheme="minorHAnsi" w:cstheme="minorBidi"/>
            <w:noProof/>
            <w:kern w:val="2"/>
            <w:szCs w:val="24"/>
            <w:lang w:val="en-US"/>
            <w14:ligatures w14:val="standardContextual"/>
          </w:rPr>
          <w:tab/>
        </w:r>
        <w:r w:rsidRPr="004F7F29">
          <w:rPr>
            <w:rStyle w:val="Hyperlink"/>
            <w:rFonts w:eastAsia="Times New Roman"/>
            <w:noProof/>
            <w:lang w:eastAsia="hr-HR" w:bidi="hr-HR"/>
          </w:rPr>
          <w:t>EU membership fee in the Hague Conference of Private International Law</w:t>
        </w:r>
        <w:r>
          <w:rPr>
            <w:noProof/>
            <w:webHidden/>
          </w:rPr>
          <w:tab/>
        </w:r>
        <w:r>
          <w:rPr>
            <w:noProof/>
            <w:webHidden/>
          </w:rPr>
          <w:fldChar w:fldCharType="begin"/>
        </w:r>
        <w:r>
          <w:rPr>
            <w:noProof/>
            <w:webHidden/>
          </w:rPr>
          <w:instrText xml:space="preserve"> PAGEREF _Toc205461096 \h </w:instrText>
        </w:r>
        <w:r>
          <w:rPr>
            <w:noProof/>
            <w:webHidden/>
          </w:rPr>
        </w:r>
        <w:r>
          <w:rPr>
            <w:noProof/>
            <w:webHidden/>
          </w:rPr>
          <w:fldChar w:fldCharType="separate"/>
        </w:r>
        <w:r w:rsidR="00302C2E">
          <w:rPr>
            <w:noProof/>
            <w:webHidden/>
          </w:rPr>
          <w:t>27</w:t>
        </w:r>
        <w:r>
          <w:rPr>
            <w:noProof/>
            <w:webHidden/>
          </w:rPr>
          <w:fldChar w:fldCharType="end"/>
        </w:r>
      </w:hyperlink>
    </w:p>
    <w:p w14:paraId="4ACF26FE" w14:textId="0CC29C61" w:rsidR="00C02990" w:rsidRPr="00876122" w:rsidRDefault="00F47FDE" w:rsidP="00F47FDE">
      <w:pPr>
        <w:widowControl w:val="0"/>
        <w:shd w:val="clear" w:color="auto" w:fill="FFFFFF"/>
        <w:tabs>
          <w:tab w:val="right" w:leader="dot" w:pos="9060"/>
        </w:tabs>
        <w:spacing w:before="0" w:after="100"/>
        <w:ind w:firstLine="860"/>
        <w:rPr>
          <w:rFonts w:eastAsia="Times New Roman"/>
          <w:color w:val="000000"/>
          <w:szCs w:val="24"/>
          <w:lang w:eastAsia="hr-HR" w:bidi="hr-HR"/>
        </w:rPr>
      </w:pPr>
      <w:r w:rsidRPr="00876122">
        <w:rPr>
          <w:rFonts w:eastAsia="Times New Roman"/>
          <w:color w:val="000000"/>
          <w:szCs w:val="24"/>
          <w:lang w:eastAsia="hr-HR" w:bidi="hr-HR"/>
        </w:rPr>
        <w:fldChar w:fldCharType="end"/>
      </w:r>
    </w:p>
    <w:p w14:paraId="453FBC02" w14:textId="77777777" w:rsidR="00C02990" w:rsidRPr="00876122" w:rsidRDefault="00C02990">
      <w:pPr>
        <w:spacing w:before="0" w:after="200" w:line="276" w:lineRule="auto"/>
        <w:jc w:val="left"/>
        <w:rPr>
          <w:rFonts w:eastAsia="Times New Roman"/>
          <w:color w:val="000000"/>
          <w:szCs w:val="24"/>
          <w:lang w:eastAsia="hr-HR" w:bidi="hr-HR"/>
        </w:rPr>
      </w:pPr>
      <w:r w:rsidRPr="00876122">
        <w:rPr>
          <w:rFonts w:eastAsia="Times New Roman"/>
          <w:color w:val="000000"/>
          <w:szCs w:val="24"/>
          <w:lang w:eastAsia="hr-HR" w:bidi="hr-HR"/>
        </w:rPr>
        <w:br w:type="page"/>
      </w:r>
    </w:p>
    <w:p w14:paraId="1F3AEE7F" w14:textId="77777777" w:rsidR="00F47FDE" w:rsidRPr="00876122" w:rsidRDefault="00F47FDE" w:rsidP="00F47FDE">
      <w:pPr>
        <w:widowControl w:val="0"/>
        <w:shd w:val="clear" w:color="auto" w:fill="FFFFFF"/>
        <w:tabs>
          <w:tab w:val="right" w:leader="dot" w:pos="9060"/>
        </w:tabs>
        <w:spacing w:before="0" w:after="100"/>
        <w:ind w:firstLine="860"/>
        <w:rPr>
          <w:rFonts w:eastAsia="Times New Roman"/>
          <w:color w:val="000000"/>
          <w:szCs w:val="24"/>
          <w:lang w:eastAsia="hr-HR" w:bidi="hr-HR"/>
        </w:rPr>
      </w:pPr>
    </w:p>
    <w:p w14:paraId="672F112E" w14:textId="26EE830C" w:rsidR="00F47FDE" w:rsidRPr="00876122" w:rsidRDefault="00F47FDE" w:rsidP="00F47FDE">
      <w:pPr>
        <w:widowControl w:val="0"/>
        <w:shd w:val="clear" w:color="auto" w:fill="FFFFFF"/>
        <w:spacing w:before="0" w:after="340"/>
        <w:jc w:val="center"/>
        <w:rPr>
          <w:rFonts w:eastAsia="Times New Roman"/>
          <w:color w:val="000000"/>
          <w:szCs w:val="24"/>
          <w:lang w:eastAsia="hr-HR" w:bidi="hr-HR"/>
        </w:rPr>
      </w:pPr>
      <w:r w:rsidRPr="00876122">
        <w:rPr>
          <w:rFonts w:eastAsia="Times New Roman"/>
          <w:b/>
          <w:bCs/>
          <w:color w:val="000000"/>
          <w:szCs w:val="24"/>
          <w:lang w:eastAsia="hr-HR" w:bidi="hr-HR"/>
        </w:rPr>
        <w:t xml:space="preserve">Work programme for </w:t>
      </w:r>
      <w:r w:rsidRPr="00876122">
        <w:rPr>
          <w:rFonts w:eastAsia="Times New Roman"/>
          <w:b/>
          <w:bCs/>
          <w:color w:val="000000"/>
          <w:szCs w:val="24"/>
          <w:lang w:eastAsia="bg-BG" w:bidi="bg-BG"/>
        </w:rPr>
        <w:t xml:space="preserve">2026-2027 </w:t>
      </w:r>
      <w:r w:rsidRPr="00876122">
        <w:rPr>
          <w:rFonts w:eastAsia="Times New Roman"/>
          <w:b/>
          <w:bCs/>
          <w:color w:val="000000"/>
          <w:szCs w:val="24"/>
          <w:lang w:eastAsia="hr-HR" w:bidi="hr-HR"/>
        </w:rPr>
        <w:t xml:space="preserve">for Regulation (EU) </w:t>
      </w:r>
      <w:r w:rsidRPr="00876122">
        <w:rPr>
          <w:rFonts w:eastAsia="Times New Roman"/>
          <w:b/>
          <w:bCs/>
          <w:color w:val="000000"/>
          <w:szCs w:val="24"/>
          <w:lang w:eastAsia="bg-BG" w:bidi="bg-BG"/>
        </w:rPr>
        <w:t xml:space="preserve">2021/693 </w:t>
      </w:r>
      <w:r w:rsidRPr="00876122">
        <w:rPr>
          <w:rFonts w:eastAsia="Times New Roman"/>
          <w:b/>
          <w:bCs/>
          <w:color w:val="000000"/>
          <w:szCs w:val="24"/>
          <w:lang w:eastAsia="hr-HR" w:bidi="hr-HR"/>
        </w:rPr>
        <w:t>of the European</w:t>
      </w:r>
      <w:r w:rsidRPr="00876122">
        <w:rPr>
          <w:rFonts w:eastAsia="Times New Roman"/>
          <w:b/>
          <w:bCs/>
          <w:color w:val="000000"/>
          <w:szCs w:val="24"/>
          <w:lang w:eastAsia="hr-HR" w:bidi="hr-HR"/>
        </w:rPr>
        <w:br/>
        <w:t xml:space="preserve">Parliament and of the Council of </w:t>
      </w:r>
      <w:r w:rsidRPr="00876122">
        <w:rPr>
          <w:rFonts w:eastAsia="Times New Roman"/>
          <w:b/>
          <w:bCs/>
          <w:color w:val="000000"/>
          <w:szCs w:val="24"/>
          <w:lang w:eastAsia="bg-BG" w:bidi="bg-BG"/>
        </w:rPr>
        <w:t xml:space="preserve">28 </w:t>
      </w:r>
      <w:r w:rsidRPr="00876122">
        <w:rPr>
          <w:rFonts w:eastAsia="Times New Roman"/>
          <w:b/>
          <w:bCs/>
          <w:color w:val="000000"/>
          <w:szCs w:val="24"/>
          <w:lang w:eastAsia="hr-HR" w:bidi="hr-HR"/>
        </w:rPr>
        <w:t xml:space="preserve">April </w:t>
      </w:r>
      <w:r w:rsidRPr="00876122">
        <w:rPr>
          <w:rFonts w:eastAsia="Times New Roman"/>
          <w:b/>
          <w:bCs/>
          <w:color w:val="000000"/>
          <w:szCs w:val="24"/>
          <w:lang w:eastAsia="bg-BG" w:bidi="bg-BG"/>
        </w:rPr>
        <w:t xml:space="preserve">2021 </w:t>
      </w:r>
      <w:r w:rsidRPr="00876122">
        <w:rPr>
          <w:rFonts w:eastAsia="Times New Roman"/>
          <w:b/>
          <w:bCs/>
          <w:color w:val="000000"/>
          <w:szCs w:val="24"/>
          <w:lang w:eastAsia="hr-HR" w:bidi="hr-HR"/>
        </w:rPr>
        <w:t xml:space="preserve">establishing the Justice </w:t>
      </w:r>
      <w:r w:rsidR="000C632E">
        <w:rPr>
          <w:rFonts w:eastAsia="Times New Roman"/>
          <w:b/>
          <w:bCs/>
          <w:color w:val="000000"/>
          <w:szCs w:val="24"/>
          <w:lang w:eastAsia="hr-HR" w:bidi="hr-HR"/>
        </w:rPr>
        <w:t>p</w:t>
      </w:r>
      <w:r w:rsidRPr="00876122">
        <w:rPr>
          <w:rFonts w:eastAsia="Times New Roman"/>
          <w:b/>
          <w:bCs/>
          <w:color w:val="000000"/>
          <w:szCs w:val="24"/>
          <w:lang w:eastAsia="hr-HR" w:bidi="hr-HR"/>
        </w:rPr>
        <w:t>rogramme and</w:t>
      </w:r>
      <w:r w:rsidRPr="00876122">
        <w:rPr>
          <w:rFonts w:eastAsia="Times New Roman"/>
          <w:b/>
          <w:bCs/>
          <w:color w:val="000000"/>
          <w:szCs w:val="24"/>
          <w:lang w:eastAsia="hr-HR" w:bidi="hr-HR"/>
        </w:rPr>
        <w:br/>
        <w:t xml:space="preserve">repealing Regulation (EU) No </w:t>
      </w:r>
      <w:r w:rsidRPr="00876122">
        <w:rPr>
          <w:rFonts w:eastAsia="Times New Roman"/>
          <w:b/>
          <w:bCs/>
          <w:color w:val="000000"/>
          <w:szCs w:val="24"/>
          <w:lang w:eastAsia="bg-BG" w:bidi="bg-BG"/>
        </w:rPr>
        <w:t>1382/2013</w:t>
      </w:r>
    </w:p>
    <w:p w14:paraId="13B2EF26" w14:textId="64CBE341" w:rsidR="00F47FDE" w:rsidRPr="00876122" w:rsidRDefault="00F47FDE" w:rsidP="00FA563B">
      <w:pPr>
        <w:pStyle w:val="Heading1"/>
        <w:rPr>
          <w:rFonts w:eastAsia="Times New Roman"/>
          <w:lang w:eastAsia="hr-HR" w:bidi="hr-HR"/>
        </w:rPr>
      </w:pPr>
      <w:bookmarkStart w:id="0" w:name="bookmark1"/>
      <w:bookmarkStart w:id="1" w:name="bookmark0"/>
      <w:bookmarkStart w:id="2" w:name="_Toc205461080"/>
      <w:r w:rsidRPr="00876122">
        <w:rPr>
          <w:rFonts w:eastAsia="Times New Roman"/>
          <w:lang w:eastAsia="hr-HR" w:bidi="hr-HR"/>
        </w:rPr>
        <w:t>Introduction</w:t>
      </w:r>
      <w:bookmarkEnd w:id="0"/>
      <w:bookmarkEnd w:id="1"/>
      <w:bookmarkEnd w:id="2"/>
    </w:p>
    <w:p w14:paraId="528D4BB0"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p>
    <w:p w14:paraId="119D7256" w14:textId="74AFAD7E" w:rsidR="00F47FDE" w:rsidRPr="00876122" w:rsidRDefault="00756BCB" w:rsidP="00047D41">
      <w:pPr>
        <w:widowControl w:val="0"/>
        <w:shd w:val="clear" w:color="auto" w:fill="FFFFFF"/>
        <w:spacing w:before="0" w:after="100"/>
        <w:rPr>
          <w:rFonts w:eastAsia="Times New Roman"/>
          <w:color w:val="000000"/>
          <w:szCs w:val="24"/>
          <w:lang w:eastAsia="hr-HR" w:bidi="hr-HR"/>
        </w:rPr>
      </w:pPr>
      <w:r w:rsidRPr="00756BCB">
        <w:rPr>
          <w:rFonts w:eastAsia="Times New Roman"/>
          <w:color w:val="000000"/>
          <w:szCs w:val="24"/>
          <w:lang w:eastAsia="hr-HR" w:bidi="hr-HR"/>
        </w:rPr>
        <w:t>Pursuant to Article 3(1) of Regulation (EU) 2021/693</w:t>
      </w:r>
      <w:r w:rsidR="00047D41" w:rsidRPr="00756BCB">
        <w:rPr>
          <w:rStyle w:val="FootnoteReference"/>
          <w:szCs w:val="24"/>
        </w:rPr>
        <w:footnoteReference w:id="2"/>
      </w:r>
      <w:r w:rsidR="00047D41" w:rsidRPr="00756BCB">
        <w:rPr>
          <w:rFonts w:eastAsia="Times New Roman"/>
          <w:color w:val="000000"/>
          <w:szCs w:val="24"/>
          <w:lang w:eastAsia="hr-HR" w:bidi="hr-HR"/>
        </w:rPr>
        <w:t xml:space="preserve">, </w:t>
      </w:r>
      <w:r w:rsidRPr="00756BCB">
        <w:rPr>
          <w:rFonts w:eastAsia="Times New Roman"/>
          <w:color w:val="000000"/>
          <w:szCs w:val="24"/>
          <w:lang w:eastAsia="hr-HR" w:bidi="hr-HR"/>
        </w:rPr>
        <w:t xml:space="preserve">the general objective of the Justice programme is to contribute to </w:t>
      </w:r>
      <w:r w:rsidR="00F47FDE" w:rsidRPr="00756BCB">
        <w:rPr>
          <w:rFonts w:eastAsia="Times New Roman"/>
          <w:color w:val="000000"/>
          <w:szCs w:val="24"/>
          <w:lang w:eastAsia="hr-HR" w:bidi="hr-HR"/>
        </w:rPr>
        <w:t xml:space="preserve">the further development of a European area of justice based on the rule of law, </w:t>
      </w:r>
      <w:r w:rsidR="00047D41" w:rsidRPr="00756BCB">
        <w:rPr>
          <w:rFonts w:eastAsia="Times New Roman"/>
          <w:color w:val="000000"/>
          <w:szCs w:val="24"/>
          <w:lang w:eastAsia="hr-HR" w:bidi="hr-HR"/>
        </w:rPr>
        <w:t xml:space="preserve">on </w:t>
      </w:r>
      <w:r w:rsidR="00F47FDE" w:rsidRPr="00756BCB">
        <w:rPr>
          <w:rFonts w:eastAsia="Times New Roman"/>
          <w:color w:val="000000"/>
          <w:szCs w:val="24"/>
          <w:lang w:eastAsia="hr-HR" w:bidi="hr-HR"/>
        </w:rPr>
        <w:t>mutual recognition</w:t>
      </w:r>
      <w:r w:rsidR="00047D41" w:rsidRPr="00756BCB">
        <w:rPr>
          <w:rFonts w:eastAsia="Times New Roman"/>
          <w:color w:val="000000"/>
          <w:szCs w:val="24"/>
          <w:lang w:eastAsia="hr-HR" w:bidi="hr-HR"/>
        </w:rPr>
        <w:t xml:space="preserve"> and</w:t>
      </w:r>
      <w:r w:rsidR="00F47FDE" w:rsidRPr="00756BCB">
        <w:rPr>
          <w:rFonts w:eastAsia="Times New Roman"/>
          <w:color w:val="000000"/>
          <w:szCs w:val="24"/>
          <w:lang w:eastAsia="hr-HR" w:bidi="hr-HR"/>
        </w:rPr>
        <w:t xml:space="preserve"> mutual trust</w:t>
      </w:r>
      <w:r w:rsidR="00047D41" w:rsidRPr="00756BCB">
        <w:rPr>
          <w:rFonts w:eastAsia="Times New Roman"/>
          <w:color w:val="000000"/>
          <w:szCs w:val="24"/>
          <w:lang w:eastAsia="hr-HR" w:bidi="hr-HR"/>
        </w:rPr>
        <w:t>,</w:t>
      </w:r>
      <w:r w:rsidR="00F47FDE" w:rsidRPr="00756BCB">
        <w:rPr>
          <w:rFonts w:eastAsia="Times New Roman"/>
          <w:color w:val="000000"/>
          <w:szCs w:val="24"/>
          <w:lang w:eastAsia="hr-HR" w:bidi="hr-HR"/>
        </w:rPr>
        <w:t xml:space="preserve"> and judicial cooperation, thereby also strengthening democracy</w:t>
      </w:r>
      <w:r w:rsidR="00047D41">
        <w:rPr>
          <w:rFonts w:eastAsia="Times New Roman"/>
          <w:color w:val="000000"/>
          <w:szCs w:val="24"/>
          <w:lang w:eastAsia="hr-HR" w:bidi="hr-HR"/>
        </w:rPr>
        <w:t>, the rule of law</w:t>
      </w:r>
      <w:r w:rsidR="00F47FDE" w:rsidRPr="00876122">
        <w:rPr>
          <w:rFonts w:eastAsia="Times New Roman"/>
          <w:color w:val="000000"/>
          <w:szCs w:val="24"/>
          <w:lang w:eastAsia="hr-HR" w:bidi="hr-HR"/>
        </w:rPr>
        <w:t xml:space="preserve"> and </w:t>
      </w:r>
      <w:r w:rsidR="00047D41">
        <w:rPr>
          <w:rFonts w:eastAsia="Times New Roman"/>
          <w:color w:val="000000"/>
          <w:szCs w:val="24"/>
          <w:lang w:eastAsia="hr-HR" w:bidi="hr-HR"/>
        </w:rPr>
        <w:t xml:space="preserve">the protection of </w:t>
      </w:r>
      <w:r w:rsidR="00F47FDE" w:rsidRPr="00876122">
        <w:rPr>
          <w:rFonts w:eastAsia="Times New Roman"/>
          <w:color w:val="000000"/>
          <w:szCs w:val="24"/>
          <w:lang w:eastAsia="hr-HR" w:bidi="hr-HR"/>
        </w:rPr>
        <w:t>fundamental rights.</w:t>
      </w:r>
    </w:p>
    <w:p w14:paraId="60380716" w14:textId="67C5D444" w:rsidR="00F47FDE" w:rsidRPr="00876122" w:rsidRDefault="00F47FDE" w:rsidP="00047D41">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As set out in </w:t>
      </w:r>
      <w:r w:rsidR="00047D41">
        <w:rPr>
          <w:rFonts w:eastAsia="Times New Roman"/>
          <w:color w:val="000000"/>
          <w:szCs w:val="24"/>
          <w:lang w:eastAsia="hr-HR" w:bidi="hr-HR"/>
        </w:rPr>
        <w:t xml:space="preserve">Article 3(2) of Regulation (EU) 2021/693, </w:t>
      </w:r>
      <w:r w:rsidRPr="00876122">
        <w:rPr>
          <w:rFonts w:eastAsia="Times New Roman"/>
          <w:color w:val="000000"/>
          <w:szCs w:val="24"/>
          <w:lang w:eastAsia="hr-HR" w:bidi="hr-HR"/>
        </w:rPr>
        <w:t xml:space="preserve">the Justice </w:t>
      </w:r>
      <w:r w:rsidR="00432589">
        <w:rPr>
          <w:rFonts w:eastAsia="Times New Roman"/>
          <w:color w:val="000000"/>
          <w:szCs w:val="24"/>
          <w:lang w:eastAsia="hr-HR" w:bidi="hr-HR"/>
        </w:rPr>
        <w:t>p</w:t>
      </w:r>
      <w:r w:rsidRPr="00876122">
        <w:rPr>
          <w:rFonts w:eastAsia="Times New Roman"/>
          <w:color w:val="000000"/>
          <w:szCs w:val="24"/>
          <w:lang w:eastAsia="hr-HR" w:bidi="hr-HR"/>
        </w:rPr>
        <w:t>rogramme</w:t>
      </w:r>
      <w:r w:rsidR="00EB3203">
        <w:rPr>
          <w:rFonts w:eastAsia="Times New Roman"/>
          <w:color w:val="000000"/>
          <w:szCs w:val="24"/>
          <w:lang w:eastAsia="hr-HR" w:bidi="hr-HR"/>
        </w:rPr>
        <w:t xml:space="preserve"> </w:t>
      </w:r>
      <w:r w:rsidRPr="00876122">
        <w:rPr>
          <w:rFonts w:eastAsia="Times New Roman"/>
          <w:color w:val="000000"/>
          <w:szCs w:val="24"/>
          <w:lang w:eastAsia="hr-HR" w:bidi="hr-HR"/>
        </w:rPr>
        <w:t>has the following specific objectives:</w:t>
      </w:r>
    </w:p>
    <w:p w14:paraId="6074B985" w14:textId="160B4C9A" w:rsidR="00F47FDE" w:rsidRPr="009F03EE" w:rsidRDefault="00F47FDE" w:rsidP="00756BCB">
      <w:pPr>
        <w:pStyle w:val="ListParagraph"/>
        <w:widowControl w:val="0"/>
        <w:numPr>
          <w:ilvl w:val="0"/>
          <w:numId w:val="55"/>
        </w:numPr>
        <w:shd w:val="clear" w:color="auto" w:fill="FFFFFF"/>
        <w:tabs>
          <w:tab w:val="left" w:pos="1480"/>
        </w:tabs>
        <w:spacing w:before="0" w:after="100"/>
        <w:rPr>
          <w:lang w:eastAsia="hr-HR" w:bidi="hr-HR"/>
        </w:rPr>
      </w:pPr>
      <w:r w:rsidRPr="009F03EE">
        <w:rPr>
          <w:lang w:eastAsia="hr-HR" w:bidi="hr-HR"/>
        </w:rPr>
        <w:t>to facilitate and support judicial cooperation in civil and criminal matters</w:t>
      </w:r>
      <w:r w:rsidR="00047D41">
        <w:rPr>
          <w:lang w:eastAsia="hr-HR" w:bidi="hr-HR"/>
        </w:rPr>
        <w:t>,</w:t>
      </w:r>
      <w:r w:rsidRPr="009F03EE">
        <w:rPr>
          <w:lang w:eastAsia="hr-HR" w:bidi="hr-HR"/>
        </w:rPr>
        <w:t xml:space="preserve"> and to promote the rule </w:t>
      </w:r>
      <w:r w:rsidRPr="001A2426">
        <w:rPr>
          <w:lang w:eastAsia="hr-HR" w:bidi="hr-HR"/>
        </w:rPr>
        <w:t xml:space="preserve">of </w:t>
      </w:r>
      <w:r w:rsidRPr="009F03EE">
        <w:rPr>
          <w:lang w:eastAsia="hr-HR" w:bidi="hr-HR"/>
        </w:rPr>
        <w:t>law</w:t>
      </w:r>
      <w:r w:rsidR="00047D41">
        <w:rPr>
          <w:lang w:eastAsia="hr-HR" w:bidi="hr-HR"/>
        </w:rPr>
        <w:t xml:space="preserve"> and</w:t>
      </w:r>
      <w:r w:rsidRPr="001A2426">
        <w:rPr>
          <w:lang w:eastAsia="hr-HR" w:bidi="hr-HR"/>
        </w:rPr>
        <w:t xml:space="preserve"> the independence and impartiality of the judiciary, including </w:t>
      </w:r>
      <w:r w:rsidR="00047D41">
        <w:rPr>
          <w:lang w:eastAsia="hr-HR" w:bidi="hr-HR"/>
        </w:rPr>
        <w:t>through</w:t>
      </w:r>
      <w:r w:rsidR="00047D41" w:rsidRPr="001A2426">
        <w:rPr>
          <w:lang w:eastAsia="hr-HR" w:bidi="hr-HR"/>
        </w:rPr>
        <w:t xml:space="preserve"> </w:t>
      </w:r>
      <w:r w:rsidRPr="001A2426">
        <w:rPr>
          <w:lang w:eastAsia="hr-HR" w:bidi="hr-HR"/>
        </w:rPr>
        <w:t xml:space="preserve">supporting </w:t>
      </w:r>
      <w:r w:rsidRPr="001A2426" w:rsidDel="0011760B">
        <w:rPr>
          <w:lang w:eastAsia="hr-HR" w:bidi="hr-HR"/>
        </w:rPr>
        <w:t xml:space="preserve">the </w:t>
      </w:r>
      <w:r w:rsidRPr="001A2426">
        <w:rPr>
          <w:lang w:eastAsia="hr-HR" w:bidi="hr-HR"/>
        </w:rPr>
        <w:t xml:space="preserve">efforts to </w:t>
      </w:r>
      <w:r w:rsidRPr="001A2426" w:rsidDel="0043331A">
        <w:rPr>
          <w:lang w:eastAsia="hr-HR" w:bidi="hr-HR"/>
        </w:rPr>
        <w:t xml:space="preserve">improve the effectiveness of </w:t>
      </w:r>
      <w:r w:rsidRPr="001A2426">
        <w:rPr>
          <w:lang w:eastAsia="hr-HR" w:bidi="hr-HR"/>
        </w:rPr>
        <w:t xml:space="preserve">national justice systems </w:t>
      </w:r>
      <w:r w:rsidRPr="001A2426" w:rsidDel="009C2F72">
        <w:rPr>
          <w:lang w:eastAsia="hr-HR" w:bidi="hr-HR"/>
        </w:rPr>
        <w:t xml:space="preserve">and </w:t>
      </w:r>
      <w:r w:rsidRPr="001A2426">
        <w:rPr>
          <w:lang w:eastAsia="hr-HR" w:bidi="hr-HR"/>
        </w:rPr>
        <w:t xml:space="preserve">the effective enforcement of </w:t>
      </w:r>
      <w:proofErr w:type="gramStart"/>
      <w:r w:rsidRPr="001A2426">
        <w:rPr>
          <w:lang w:eastAsia="hr-HR" w:bidi="hr-HR"/>
        </w:rPr>
        <w:t>decisions</w:t>
      </w:r>
      <w:r w:rsidRPr="009F03EE">
        <w:rPr>
          <w:lang w:eastAsia="hr-HR" w:bidi="hr-HR"/>
        </w:rPr>
        <w:t>;</w:t>
      </w:r>
      <w:proofErr w:type="gramEnd"/>
    </w:p>
    <w:p w14:paraId="78FE1E0C" w14:textId="5660BE3F" w:rsidR="00F47FDE" w:rsidRPr="009F03EE" w:rsidRDefault="00F47FDE" w:rsidP="00756BCB">
      <w:pPr>
        <w:pStyle w:val="ListParagraph"/>
        <w:widowControl w:val="0"/>
        <w:numPr>
          <w:ilvl w:val="0"/>
          <w:numId w:val="55"/>
        </w:numPr>
        <w:shd w:val="clear" w:color="auto" w:fill="FFFFFF"/>
        <w:tabs>
          <w:tab w:val="left" w:pos="1480"/>
        </w:tabs>
        <w:spacing w:before="0" w:after="100"/>
        <w:rPr>
          <w:lang w:eastAsia="hr-HR" w:bidi="hr-HR"/>
        </w:rPr>
      </w:pPr>
      <w:r w:rsidRPr="009F03EE">
        <w:rPr>
          <w:lang w:eastAsia="hr-HR" w:bidi="hr-HR"/>
        </w:rPr>
        <w:t>to support and promote judicial training, with a view to fostering a common legal</w:t>
      </w:r>
      <w:r w:rsidR="00047D41">
        <w:rPr>
          <w:lang w:eastAsia="hr-HR" w:bidi="hr-HR"/>
        </w:rPr>
        <w:t xml:space="preserve"> and</w:t>
      </w:r>
      <w:r w:rsidRPr="009F03EE">
        <w:rPr>
          <w:lang w:eastAsia="hr-HR" w:bidi="hr-HR"/>
        </w:rPr>
        <w:t xml:space="preserve"> judicial culture</w:t>
      </w:r>
      <w:r w:rsidRPr="009F03EE" w:rsidDel="009017D2">
        <w:rPr>
          <w:lang w:eastAsia="hr-HR" w:bidi="hr-HR"/>
        </w:rPr>
        <w:t>,</w:t>
      </w:r>
      <w:r w:rsidRPr="009F03EE">
        <w:rPr>
          <w:lang w:eastAsia="hr-HR" w:bidi="hr-HR"/>
        </w:rPr>
        <w:t xml:space="preserve"> </w:t>
      </w:r>
      <w:r w:rsidRPr="009F03EE" w:rsidDel="009017D2">
        <w:rPr>
          <w:lang w:eastAsia="hr-HR" w:bidi="hr-HR"/>
        </w:rPr>
        <w:t xml:space="preserve">as well as </w:t>
      </w:r>
      <w:r w:rsidR="00047D41">
        <w:rPr>
          <w:lang w:eastAsia="hr-HR" w:bidi="hr-HR"/>
        </w:rPr>
        <w:t xml:space="preserve">a culture based on the rule of law and to support and promote </w:t>
      </w:r>
      <w:r w:rsidRPr="009F03EE" w:rsidDel="009017D2">
        <w:rPr>
          <w:lang w:eastAsia="hr-HR" w:bidi="hr-HR"/>
        </w:rPr>
        <w:t>the</w:t>
      </w:r>
      <w:r w:rsidRPr="009F03EE">
        <w:rPr>
          <w:lang w:eastAsia="hr-HR" w:bidi="hr-HR"/>
        </w:rPr>
        <w:t xml:space="preserve"> consistent and effective implementation of the Union legal instruments </w:t>
      </w:r>
      <w:r w:rsidR="00047D41">
        <w:rPr>
          <w:lang w:eastAsia="hr-HR" w:bidi="hr-HR"/>
        </w:rPr>
        <w:t xml:space="preserve">that are </w:t>
      </w:r>
      <w:r w:rsidRPr="009F03EE">
        <w:rPr>
          <w:lang w:eastAsia="hr-HR" w:bidi="hr-HR"/>
        </w:rPr>
        <w:t>relevant in the context of th</w:t>
      </w:r>
      <w:r w:rsidR="00047D41">
        <w:rPr>
          <w:lang w:eastAsia="hr-HR" w:bidi="hr-HR"/>
        </w:rPr>
        <w:t>e</w:t>
      </w:r>
      <w:r w:rsidRPr="009F03EE">
        <w:rPr>
          <w:lang w:eastAsia="hr-HR" w:bidi="hr-HR"/>
        </w:rPr>
        <w:t xml:space="preserve"> </w:t>
      </w:r>
      <w:proofErr w:type="gramStart"/>
      <w:r w:rsidR="00047D41">
        <w:rPr>
          <w:lang w:eastAsia="hr-HR" w:bidi="hr-HR"/>
        </w:rPr>
        <w:t>P</w:t>
      </w:r>
      <w:r w:rsidRPr="009F03EE">
        <w:rPr>
          <w:lang w:eastAsia="hr-HR" w:bidi="hr-HR"/>
        </w:rPr>
        <w:t>rogramme;</w:t>
      </w:r>
      <w:proofErr w:type="gramEnd"/>
    </w:p>
    <w:p w14:paraId="47D3A06E" w14:textId="586F5DC3" w:rsidR="00F47FDE" w:rsidRPr="00047D41" w:rsidRDefault="00F47FDE" w:rsidP="00756BCB">
      <w:pPr>
        <w:pStyle w:val="ListParagraph"/>
        <w:widowControl w:val="0"/>
        <w:numPr>
          <w:ilvl w:val="0"/>
          <w:numId w:val="55"/>
        </w:numPr>
        <w:shd w:val="clear" w:color="auto" w:fill="FFFFFF" w:themeFill="background1"/>
        <w:tabs>
          <w:tab w:val="left" w:pos="1480"/>
        </w:tabs>
        <w:spacing w:before="0" w:after="100"/>
        <w:rPr>
          <w:color w:val="000000"/>
          <w:lang w:eastAsia="hr-HR" w:bidi="hr-HR"/>
        </w:rPr>
      </w:pPr>
      <w:r w:rsidRPr="009F03EE">
        <w:rPr>
          <w:lang w:eastAsia="hr-HR" w:bidi="hr-HR"/>
        </w:rPr>
        <w:t xml:space="preserve">to facilitate </w:t>
      </w:r>
      <w:r w:rsidR="00047D41" w:rsidRPr="009F03EE">
        <w:rPr>
          <w:lang w:eastAsia="hr-HR" w:bidi="hr-HR"/>
        </w:rPr>
        <w:t>effective</w:t>
      </w:r>
      <w:r w:rsidRPr="009F03EE">
        <w:rPr>
          <w:lang w:eastAsia="hr-HR" w:bidi="hr-HR"/>
        </w:rPr>
        <w:t xml:space="preserve"> and non-discriminatory access to justice for all</w:t>
      </w:r>
      <w:r w:rsidR="00047D41">
        <w:rPr>
          <w:lang w:eastAsia="hr-HR" w:bidi="hr-HR"/>
        </w:rPr>
        <w:t>,</w:t>
      </w:r>
      <w:r w:rsidRPr="009F03EE">
        <w:rPr>
          <w:lang w:eastAsia="hr-HR" w:bidi="hr-HR"/>
        </w:rPr>
        <w:t xml:space="preserve"> and effective </w:t>
      </w:r>
      <w:r w:rsidR="00047D41" w:rsidRPr="009F03EE">
        <w:rPr>
          <w:lang w:eastAsia="hr-HR" w:bidi="hr-HR"/>
        </w:rPr>
        <w:t>re</w:t>
      </w:r>
      <w:r w:rsidR="00047D41">
        <w:rPr>
          <w:lang w:eastAsia="hr-HR" w:bidi="hr-HR"/>
        </w:rPr>
        <w:t>medy</w:t>
      </w:r>
      <w:r w:rsidRPr="009F03EE">
        <w:rPr>
          <w:lang w:eastAsia="hr-HR" w:bidi="hr-HR"/>
        </w:rPr>
        <w:t xml:space="preserve">, including by electronic means (e-Justice), by promoting efficient civil and criminal procedures and by </w:t>
      </w:r>
      <w:r w:rsidRPr="009F03EE" w:rsidDel="000515CB">
        <w:rPr>
          <w:lang w:eastAsia="hr-HR" w:bidi="hr-HR"/>
        </w:rPr>
        <w:t xml:space="preserve">promoting and </w:t>
      </w:r>
      <w:r w:rsidRPr="009F03EE">
        <w:rPr>
          <w:lang w:eastAsia="hr-HR" w:bidi="hr-HR"/>
        </w:rPr>
        <w:t>supporting the rights of all victims of crime as well as the procedural rights of suspects and accused persons in criminal proceedings</w:t>
      </w:r>
      <w:r w:rsidRPr="00047D41">
        <w:rPr>
          <w:lang w:eastAsia="hr-HR" w:bidi="hr-HR"/>
        </w:rPr>
        <w:t>.</w:t>
      </w:r>
    </w:p>
    <w:p w14:paraId="19D51BE9" w14:textId="34DC846B" w:rsidR="00645598" w:rsidRPr="00097C6F" w:rsidRDefault="00645598" w:rsidP="00097C6F">
      <w:pPr>
        <w:spacing w:before="100" w:beforeAutospacing="1" w:after="100" w:afterAutospacing="1"/>
        <w:rPr>
          <w:rFonts w:eastAsia="Times New Roman"/>
          <w:szCs w:val="24"/>
          <w:lang w:val="en-US"/>
        </w:rPr>
      </w:pPr>
      <w:r w:rsidRPr="00097C6F">
        <w:rPr>
          <w:rFonts w:eastAsia="Times New Roman"/>
          <w:szCs w:val="24"/>
          <w:lang w:val="en-US"/>
        </w:rPr>
        <w:t xml:space="preserve">The </w:t>
      </w:r>
      <w:r>
        <w:rPr>
          <w:rFonts w:eastAsia="Times New Roman"/>
          <w:szCs w:val="24"/>
          <w:lang w:val="en-US"/>
        </w:rPr>
        <w:t>Justice</w:t>
      </w:r>
      <w:r w:rsidRPr="00097C6F">
        <w:rPr>
          <w:rFonts w:eastAsia="Times New Roman"/>
          <w:szCs w:val="24"/>
          <w:lang w:val="en-US"/>
        </w:rPr>
        <w:t xml:space="preserve"> </w:t>
      </w:r>
      <w:proofErr w:type="spellStart"/>
      <w:r w:rsidRPr="00097C6F">
        <w:rPr>
          <w:rFonts w:eastAsia="Times New Roman"/>
          <w:szCs w:val="24"/>
          <w:lang w:val="en-US"/>
        </w:rPr>
        <w:t>programme</w:t>
      </w:r>
      <w:proofErr w:type="spellEnd"/>
      <w:r w:rsidRPr="00097C6F">
        <w:rPr>
          <w:rFonts w:eastAsia="Times New Roman"/>
          <w:szCs w:val="24"/>
          <w:lang w:val="en-US"/>
        </w:rPr>
        <w:t xml:space="preserve"> contributes to the implementation of key EU legislation that forms part of the EU’s comprehensive response to both persistent and emerging challenges. </w:t>
      </w:r>
    </w:p>
    <w:p w14:paraId="50C2D644" w14:textId="2231C594"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This multiannual work programme covers the two </w:t>
      </w:r>
      <w:r w:rsidR="00201799">
        <w:rPr>
          <w:rFonts w:eastAsia="Times New Roman"/>
          <w:color w:val="000000"/>
          <w:szCs w:val="24"/>
          <w:lang w:eastAsia="hr-HR" w:bidi="hr-HR"/>
        </w:rPr>
        <w:t xml:space="preserve">final </w:t>
      </w:r>
      <w:r w:rsidRPr="00876122">
        <w:rPr>
          <w:rFonts w:eastAsia="Times New Roman"/>
          <w:color w:val="000000"/>
          <w:szCs w:val="24"/>
          <w:lang w:eastAsia="hr-HR" w:bidi="hr-HR"/>
        </w:rPr>
        <w:t xml:space="preserve">years of the current </w:t>
      </w:r>
      <w:r w:rsidR="00D3509C" w:rsidRPr="00876122">
        <w:rPr>
          <w:rFonts w:eastAsia="Times New Roman"/>
          <w:color w:val="000000"/>
          <w:szCs w:val="24"/>
          <w:lang w:eastAsia="bg-BG" w:bidi="bg-BG"/>
        </w:rPr>
        <w:t>2021-2027</w:t>
      </w:r>
      <w:r w:rsidR="00D3509C">
        <w:rPr>
          <w:rFonts w:eastAsia="Times New Roman"/>
          <w:color w:val="000000"/>
          <w:szCs w:val="24"/>
          <w:lang w:eastAsia="bg-BG" w:bidi="bg-BG"/>
        </w:rPr>
        <w:t xml:space="preserve"> </w:t>
      </w:r>
      <w:r w:rsidRPr="00876122">
        <w:rPr>
          <w:rFonts w:eastAsia="Times New Roman"/>
          <w:color w:val="000000"/>
          <w:szCs w:val="24"/>
          <w:lang w:eastAsia="hr-HR" w:bidi="hr-HR"/>
        </w:rPr>
        <w:t>Multiannual Financial Framework (MFF)</w:t>
      </w:r>
      <w:r w:rsidR="00645598">
        <w:rPr>
          <w:rFonts w:eastAsia="Times New Roman"/>
          <w:color w:val="000000"/>
          <w:szCs w:val="24"/>
          <w:lang w:eastAsia="bg-BG" w:bidi="bg-BG"/>
        </w:rPr>
        <w:t xml:space="preserve"> and</w:t>
      </w:r>
      <w:r w:rsidR="00645598">
        <w:rPr>
          <w:rFonts w:eastAsia="Times New Roman"/>
          <w:color w:val="000000"/>
          <w:szCs w:val="24"/>
          <w:lang w:eastAsia="hr-HR" w:bidi="hr-HR"/>
        </w:rPr>
        <w:t xml:space="preserve"> </w:t>
      </w:r>
      <w:r w:rsidR="00645598" w:rsidRPr="00876122">
        <w:rPr>
          <w:rFonts w:eastAsia="Times New Roman"/>
          <w:color w:val="000000"/>
          <w:szCs w:val="24"/>
          <w:lang w:eastAsia="hr-HR" w:bidi="hr-HR"/>
        </w:rPr>
        <w:t>takes into consideration recent geo-political developments, which have, among other</w:t>
      </w:r>
      <w:r w:rsidR="00645598">
        <w:rPr>
          <w:rFonts w:eastAsia="Times New Roman"/>
          <w:color w:val="000000"/>
          <w:szCs w:val="24"/>
          <w:lang w:eastAsia="hr-HR" w:bidi="hr-HR"/>
        </w:rPr>
        <w:t xml:space="preserve"> thing</w:t>
      </w:r>
      <w:r w:rsidR="00645598" w:rsidRPr="00876122">
        <w:rPr>
          <w:rFonts w:eastAsia="Times New Roman"/>
          <w:color w:val="000000"/>
          <w:szCs w:val="24"/>
          <w:lang w:eastAsia="hr-HR" w:bidi="hr-HR"/>
        </w:rPr>
        <w:t xml:space="preserve">s, underlined the need for </w:t>
      </w:r>
      <w:r w:rsidR="00645598">
        <w:rPr>
          <w:rFonts w:eastAsia="Times New Roman"/>
          <w:color w:val="000000"/>
          <w:szCs w:val="24"/>
          <w:lang w:eastAsia="hr-HR" w:bidi="hr-HR"/>
        </w:rPr>
        <w:t>a</w:t>
      </w:r>
      <w:r w:rsidR="00645598" w:rsidRPr="00876122">
        <w:rPr>
          <w:rFonts w:eastAsia="Times New Roman"/>
          <w:color w:val="000000"/>
          <w:szCs w:val="24"/>
          <w:lang w:eastAsia="hr-HR" w:bidi="hr-HR"/>
        </w:rPr>
        <w:t xml:space="preserve"> rapid digitalisation of EU Member States’ justice systems.</w:t>
      </w:r>
    </w:p>
    <w:p w14:paraId="5DA2D13B" w14:textId="08E73460" w:rsidR="00F47FDE" w:rsidRPr="00876122" w:rsidRDefault="00645598" w:rsidP="00F47FDE">
      <w:pPr>
        <w:widowControl w:val="0"/>
        <w:shd w:val="clear" w:color="auto" w:fill="FFFFFF"/>
        <w:spacing w:before="0" w:after="100"/>
        <w:rPr>
          <w:rFonts w:eastAsia="Times New Roman"/>
          <w:color w:val="000000"/>
          <w:szCs w:val="24"/>
          <w:lang w:eastAsia="hr-HR" w:bidi="hr-HR"/>
        </w:rPr>
      </w:pPr>
      <w:r w:rsidRPr="00A55816">
        <w:rPr>
          <w:rFonts w:eastAsia="Times New Roman"/>
          <w:szCs w:val="24"/>
          <w:lang w:val="en-US"/>
        </w:rPr>
        <w:t xml:space="preserve">Building on the policy initiatives supported under the 2023-2025 work </w:t>
      </w:r>
      <w:proofErr w:type="spellStart"/>
      <w:r w:rsidRPr="00A55816">
        <w:rPr>
          <w:rFonts w:eastAsia="Times New Roman"/>
          <w:szCs w:val="24"/>
          <w:lang w:val="en-US"/>
        </w:rPr>
        <w:t>programme</w:t>
      </w:r>
      <w:proofErr w:type="spellEnd"/>
      <w:r w:rsidRPr="00A55816">
        <w:rPr>
          <w:rFonts w:eastAsia="Times New Roman"/>
          <w:szCs w:val="24"/>
          <w:lang w:val="en-US"/>
        </w:rPr>
        <w:t xml:space="preserve">, the 2026-2027 work </w:t>
      </w:r>
      <w:proofErr w:type="spellStart"/>
      <w:r w:rsidRPr="00A55816">
        <w:rPr>
          <w:rFonts w:eastAsia="Times New Roman"/>
          <w:szCs w:val="24"/>
          <w:lang w:val="en-US"/>
        </w:rPr>
        <w:t>programme</w:t>
      </w:r>
      <w:proofErr w:type="spellEnd"/>
      <w:r w:rsidRPr="00A55816">
        <w:rPr>
          <w:rFonts w:eastAsia="Times New Roman"/>
          <w:szCs w:val="24"/>
          <w:lang w:val="en-US"/>
        </w:rPr>
        <w:t xml:space="preserve"> </w:t>
      </w:r>
      <w:r w:rsidR="00F47FDE" w:rsidRPr="00876122">
        <w:rPr>
          <w:rFonts w:eastAsia="Times New Roman"/>
          <w:color w:val="000000"/>
          <w:szCs w:val="24"/>
          <w:lang w:eastAsia="hr-HR" w:bidi="hr-HR"/>
        </w:rPr>
        <w:t xml:space="preserve">will continue </w:t>
      </w:r>
      <w:r w:rsidR="004A6DB2">
        <w:rPr>
          <w:rFonts w:eastAsia="Times New Roman"/>
          <w:color w:val="000000"/>
          <w:szCs w:val="24"/>
          <w:lang w:eastAsia="hr-HR" w:bidi="hr-HR"/>
        </w:rPr>
        <w:t xml:space="preserve">to </w:t>
      </w:r>
      <w:r w:rsidR="00706677">
        <w:rPr>
          <w:rFonts w:eastAsia="Times New Roman"/>
          <w:color w:val="000000"/>
          <w:szCs w:val="24"/>
          <w:lang w:eastAsia="hr-HR" w:bidi="hr-HR"/>
        </w:rPr>
        <w:t>focus on</w:t>
      </w:r>
      <w:r w:rsidR="00F47FDE" w:rsidRPr="00876122">
        <w:rPr>
          <w:rFonts w:eastAsia="Times New Roman"/>
          <w:color w:val="000000"/>
          <w:szCs w:val="24"/>
          <w:lang w:eastAsia="hr-HR" w:bidi="hr-HR"/>
        </w:rPr>
        <w:t xml:space="preserve"> </w:t>
      </w:r>
      <w:r w:rsidR="00EA75F5">
        <w:rPr>
          <w:rFonts w:eastAsia="Times New Roman"/>
          <w:color w:val="000000"/>
          <w:szCs w:val="24"/>
          <w:lang w:eastAsia="hr-HR" w:bidi="hr-HR"/>
        </w:rPr>
        <w:t xml:space="preserve">the </w:t>
      </w:r>
      <w:r w:rsidR="00F47FDE" w:rsidRPr="00876122">
        <w:rPr>
          <w:rFonts w:eastAsia="Times New Roman"/>
          <w:color w:val="000000"/>
          <w:szCs w:val="24"/>
          <w:lang w:eastAsia="hr-HR" w:bidi="hr-HR"/>
        </w:rPr>
        <w:t xml:space="preserve">priorities identified under its three specific objectives (judicial cooperation, </w:t>
      </w:r>
      <w:r w:rsidR="00C64A59" w:rsidRPr="00876122">
        <w:rPr>
          <w:rFonts w:eastAsia="Times New Roman"/>
          <w:color w:val="000000"/>
          <w:szCs w:val="24"/>
          <w:lang w:eastAsia="hr-HR" w:bidi="hr-HR"/>
        </w:rPr>
        <w:t xml:space="preserve">judicial training </w:t>
      </w:r>
      <w:r w:rsidR="00C64A59">
        <w:rPr>
          <w:rFonts w:eastAsia="Times New Roman"/>
          <w:color w:val="000000"/>
          <w:szCs w:val="24"/>
          <w:lang w:eastAsia="hr-HR" w:bidi="hr-HR"/>
        </w:rPr>
        <w:t xml:space="preserve">and </w:t>
      </w:r>
      <w:r w:rsidR="00F47FDE" w:rsidRPr="00876122">
        <w:rPr>
          <w:rFonts w:eastAsia="Times New Roman"/>
          <w:color w:val="000000"/>
          <w:szCs w:val="24"/>
          <w:lang w:eastAsia="hr-HR" w:bidi="hr-HR"/>
        </w:rPr>
        <w:t>access to justice)</w:t>
      </w:r>
      <w:r>
        <w:rPr>
          <w:rFonts w:eastAsia="Times New Roman"/>
          <w:color w:val="000000"/>
          <w:szCs w:val="24"/>
          <w:lang w:eastAsia="hr-HR" w:bidi="hr-HR"/>
        </w:rPr>
        <w:t>, by supporting also</w:t>
      </w:r>
      <w:r w:rsidR="00F47FDE" w:rsidRPr="00876122">
        <w:rPr>
          <w:rFonts w:eastAsia="Times New Roman"/>
          <w:color w:val="000000"/>
          <w:szCs w:val="24"/>
          <w:lang w:eastAsia="hr-HR" w:bidi="hr-HR"/>
        </w:rPr>
        <w:t xml:space="preserve"> </w:t>
      </w:r>
      <w:r w:rsidRPr="00A55816">
        <w:rPr>
          <w:rFonts w:eastAsia="Times New Roman"/>
          <w:szCs w:val="24"/>
          <w:lang w:val="en-US"/>
        </w:rPr>
        <w:t>the development and implementation of new EU policy strategies and legislative initiatives in the</w:t>
      </w:r>
      <w:r>
        <w:rPr>
          <w:rFonts w:eastAsia="Times New Roman"/>
          <w:szCs w:val="24"/>
          <w:lang w:val="en-US"/>
        </w:rPr>
        <w:t>se</w:t>
      </w:r>
      <w:r w:rsidRPr="00A55816">
        <w:rPr>
          <w:rFonts w:eastAsia="Times New Roman"/>
          <w:szCs w:val="24"/>
          <w:lang w:val="en-US"/>
        </w:rPr>
        <w:t xml:space="preserve"> fields</w:t>
      </w:r>
      <w:r w:rsidR="00F47FDE" w:rsidRPr="00876122">
        <w:rPr>
          <w:rFonts w:eastAsia="Times New Roman"/>
          <w:color w:val="000000"/>
          <w:szCs w:val="24"/>
          <w:lang w:eastAsia="hr-HR" w:bidi="hr-HR"/>
        </w:rPr>
        <w:t xml:space="preserve">. </w:t>
      </w:r>
      <w:r w:rsidR="007D66F5">
        <w:rPr>
          <w:rFonts w:eastAsia="Times New Roman"/>
          <w:color w:val="000000"/>
          <w:szCs w:val="24"/>
          <w:lang w:eastAsia="hr-HR" w:bidi="hr-HR"/>
        </w:rPr>
        <w:t>The</w:t>
      </w:r>
      <w:r w:rsidR="007D66F5" w:rsidRPr="00876122">
        <w:rPr>
          <w:rFonts w:eastAsia="Times New Roman"/>
          <w:color w:val="000000"/>
          <w:szCs w:val="24"/>
          <w:lang w:eastAsia="hr-HR" w:bidi="hr-HR"/>
        </w:rPr>
        <w:t xml:space="preserve"> priorities</w:t>
      </w:r>
      <w:r w:rsidR="00F47FDE" w:rsidRPr="00876122">
        <w:rPr>
          <w:rFonts w:eastAsia="Times New Roman"/>
          <w:color w:val="000000"/>
          <w:szCs w:val="24"/>
          <w:lang w:eastAsia="hr-HR" w:bidi="hr-HR"/>
        </w:rPr>
        <w:t xml:space="preserve"> </w:t>
      </w:r>
      <w:r>
        <w:rPr>
          <w:rFonts w:eastAsia="Times New Roman"/>
          <w:color w:val="000000"/>
          <w:szCs w:val="24"/>
          <w:lang w:eastAsia="hr-HR" w:bidi="hr-HR"/>
        </w:rPr>
        <w:t xml:space="preserve">listed in the work programme </w:t>
      </w:r>
      <w:r w:rsidR="00F47FDE" w:rsidRPr="00876122">
        <w:rPr>
          <w:rFonts w:eastAsia="Times New Roman"/>
          <w:color w:val="000000"/>
          <w:szCs w:val="24"/>
          <w:lang w:eastAsia="hr-HR" w:bidi="hr-HR"/>
        </w:rPr>
        <w:t xml:space="preserve">are broadly </w:t>
      </w:r>
      <w:r w:rsidR="00536BD5">
        <w:rPr>
          <w:rFonts w:eastAsia="Times New Roman"/>
          <w:color w:val="000000"/>
          <w:szCs w:val="24"/>
          <w:lang w:eastAsia="hr-HR" w:bidi="hr-HR"/>
        </w:rPr>
        <w:t xml:space="preserve">defined </w:t>
      </w:r>
      <w:r w:rsidR="00F47FDE" w:rsidRPr="00876122">
        <w:rPr>
          <w:rFonts w:eastAsia="Times New Roman"/>
          <w:color w:val="000000"/>
          <w:szCs w:val="24"/>
          <w:lang w:eastAsia="hr-HR" w:bidi="hr-HR"/>
        </w:rPr>
        <w:t xml:space="preserve">to keep </w:t>
      </w:r>
      <w:r w:rsidR="00983CBE">
        <w:rPr>
          <w:rFonts w:eastAsia="Times New Roman"/>
          <w:color w:val="000000"/>
          <w:szCs w:val="24"/>
          <w:lang w:eastAsia="hr-HR" w:bidi="hr-HR"/>
        </w:rPr>
        <w:t xml:space="preserve">them as flexible as possible </w:t>
      </w:r>
      <w:r w:rsidR="003360EA">
        <w:rPr>
          <w:rFonts w:eastAsia="Times New Roman"/>
          <w:color w:val="000000"/>
          <w:szCs w:val="24"/>
          <w:lang w:eastAsia="hr-HR" w:bidi="hr-HR"/>
        </w:rPr>
        <w:t>to</w:t>
      </w:r>
      <w:r w:rsidR="00752967">
        <w:rPr>
          <w:rFonts w:eastAsia="Times New Roman"/>
          <w:color w:val="000000"/>
          <w:szCs w:val="24"/>
          <w:lang w:eastAsia="hr-HR" w:bidi="hr-HR"/>
        </w:rPr>
        <w:t xml:space="preserve"> </w:t>
      </w:r>
      <w:r w:rsidR="00F47FDE" w:rsidRPr="00876122">
        <w:rPr>
          <w:rFonts w:eastAsia="Times New Roman"/>
          <w:color w:val="000000"/>
          <w:szCs w:val="24"/>
          <w:lang w:eastAsia="hr-HR" w:bidi="hr-HR"/>
        </w:rPr>
        <w:t>allow the Programme to tackle new emerging challenges and needs</w:t>
      </w:r>
      <w:r w:rsidR="007F1F8A">
        <w:rPr>
          <w:rFonts w:eastAsia="Times New Roman"/>
          <w:color w:val="000000"/>
          <w:szCs w:val="24"/>
          <w:lang w:eastAsia="hr-HR" w:bidi="hr-HR"/>
        </w:rPr>
        <w:t>, thus also contributing to make the justice systems more resilient</w:t>
      </w:r>
    </w:p>
    <w:p w14:paraId="4A41BF2A"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p w14:paraId="574F9C54" w14:textId="77777777" w:rsidR="00F47FDE" w:rsidRPr="00876122" w:rsidRDefault="00F47FDE" w:rsidP="00F47FDE">
      <w:pPr>
        <w:widowControl w:val="0"/>
        <w:shd w:val="clear" w:color="auto" w:fill="FFFFFF"/>
        <w:spacing w:before="0" w:after="100"/>
        <w:rPr>
          <w:rFonts w:eastAsia="Times New Roman"/>
          <w:b/>
          <w:bCs/>
          <w:color w:val="000000"/>
          <w:szCs w:val="24"/>
          <w:lang w:eastAsia="hr-HR" w:bidi="hr-HR"/>
        </w:rPr>
      </w:pPr>
      <w:r w:rsidRPr="00876122">
        <w:rPr>
          <w:rFonts w:eastAsia="Times New Roman"/>
          <w:b/>
          <w:bCs/>
          <w:color w:val="000000"/>
          <w:szCs w:val="24"/>
          <w:lang w:eastAsia="hr-HR" w:bidi="hr-HR"/>
        </w:rPr>
        <w:t>Rule of law</w:t>
      </w:r>
    </w:p>
    <w:p w14:paraId="242D15D7" w14:textId="7C4FC592" w:rsidR="00F47FDE" w:rsidRPr="00876122" w:rsidRDefault="00F47FDE" w:rsidP="00F47FDE">
      <w:pPr>
        <w:widowControl w:val="0"/>
        <w:shd w:val="clear" w:color="auto" w:fill="FFFFFF"/>
        <w:spacing w:before="0" w:after="100"/>
        <w:rPr>
          <w:rFonts w:eastAsia="Times New Roman"/>
          <w:color w:val="000000"/>
          <w:szCs w:val="24"/>
          <w:shd w:val="clear" w:color="auto" w:fill="FFFFFF"/>
          <w:lang w:eastAsia="hr-HR" w:bidi="hr-HR"/>
        </w:rPr>
      </w:pPr>
      <w:r w:rsidRPr="00876122">
        <w:rPr>
          <w:rFonts w:eastAsia="Times New Roman"/>
          <w:color w:val="000000"/>
          <w:szCs w:val="24"/>
          <w:shd w:val="clear" w:color="auto" w:fill="FFFFFF"/>
          <w:lang w:eastAsia="hr-HR" w:bidi="hr-HR"/>
        </w:rPr>
        <w:t xml:space="preserve">The rule of law is an essential safeguard for the well-functioning of our democracies, the protection of individual rights, and hence for the vitality and prosperity of our societies and </w:t>
      </w:r>
      <w:r w:rsidRPr="00876122">
        <w:rPr>
          <w:rFonts w:eastAsia="Times New Roman"/>
          <w:color w:val="000000"/>
          <w:szCs w:val="24"/>
          <w:shd w:val="clear" w:color="auto" w:fill="FFFFFF"/>
          <w:lang w:eastAsia="hr-HR" w:bidi="hr-HR"/>
        </w:rPr>
        <w:lastRenderedPageBreak/>
        <w:t xml:space="preserve">economies. The importance of the rule of law </w:t>
      </w:r>
      <w:r w:rsidR="00BE757B">
        <w:rPr>
          <w:rFonts w:eastAsia="Times New Roman"/>
          <w:color w:val="000000"/>
          <w:szCs w:val="24"/>
          <w:shd w:val="clear" w:color="auto" w:fill="FFFFFF"/>
          <w:lang w:eastAsia="hr-HR" w:bidi="hr-HR"/>
        </w:rPr>
        <w:t>wa</w:t>
      </w:r>
      <w:r w:rsidRPr="00876122">
        <w:rPr>
          <w:rFonts w:eastAsia="Times New Roman"/>
          <w:color w:val="000000"/>
          <w:szCs w:val="24"/>
          <w:shd w:val="clear" w:color="auto" w:fill="FFFFFF"/>
          <w:lang w:eastAsia="hr-HR" w:bidi="hr-HR"/>
        </w:rPr>
        <w:t xml:space="preserve">s emphasised by President von der Leyen in </w:t>
      </w:r>
      <w:r w:rsidRPr="006C6639">
        <w:rPr>
          <w:rFonts w:eastAsia="Times New Roman"/>
          <w:color w:val="000000"/>
          <w:szCs w:val="24"/>
          <w:shd w:val="clear" w:color="auto" w:fill="FFFFFF"/>
          <w:lang w:eastAsia="hr-HR" w:bidi="hr-HR"/>
        </w:rPr>
        <w:t>her</w:t>
      </w:r>
      <w:r w:rsidRPr="00876122">
        <w:rPr>
          <w:rFonts w:eastAsia="Times New Roman"/>
          <w:color w:val="000000"/>
          <w:szCs w:val="24"/>
          <w:shd w:val="clear" w:color="auto" w:fill="FFFFFF"/>
          <w:lang w:eastAsia="hr-HR" w:bidi="hr-HR"/>
        </w:rPr>
        <w:t xml:space="preserve"> </w:t>
      </w:r>
      <w:r w:rsidR="00876122">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 xml:space="preserve">Political guidelines for the next European Commission </w:t>
      </w:r>
      <w:r w:rsidRPr="00876122">
        <w:rPr>
          <w:rFonts w:eastAsia="Times New Roman"/>
          <w:color w:val="000000"/>
          <w:szCs w:val="24"/>
          <w:shd w:val="clear" w:color="auto" w:fill="FFFFFF"/>
          <w:lang w:eastAsia="bg-BG" w:bidi="bg-BG"/>
        </w:rPr>
        <w:t>2024-2029</w:t>
      </w:r>
      <w:r w:rsidR="00876122">
        <w:rPr>
          <w:rFonts w:eastAsia="Times New Roman"/>
          <w:color w:val="000000"/>
          <w:szCs w:val="24"/>
          <w:shd w:val="clear" w:color="auto" w:fill="FFFFFF"/>
          <w:lang w:eastAsia="bg-BG" w:bidi="bg-BG"/>
        </w:rPr>
        <w:t>’</w:t>
      </w:r>
      <w:r w:rsidR="00C64A59" w:rsidRPr="00ED6BA4">
        <w:rPr>
          <w:rStyle w:val="FootnoteReference"/>
        </w:rPr>
        <w:footnoteReference w:id="3"/>
      </w:r>
      <w:r w:rsidRPr="00876122">
        <w:rPr>
          <w:rFonts w:eastAsia="Times New Roman"/>
          <w:color w:val="000000"/>
          <w:szCs w:val="24"/>
          <w:shd w:val="clear" w:color="auto" w:fill="FFFFFF"/>
          <w:lang w:eastAsia="bg-BG" w:bidi="bg-BG"/>
        </w:rPr>
        <w:t xml:space="preserve">: </w:t>
      </w:r>
      <w:r w:rsidRPr="00876122">
        <w:rPr>
          <w:rFonts w:eastAsia="Times New Roman"/>
          <w:color w:val="000000"/>
          <w:szCs w:val="24"/>
          <w:shd w:val="clear" w:color="auto" w:fill="FFFFFF"/>
          <w:lang w:eastAsia="hr-HR" w:bidi="hr-HR"/>
        </w:rPr>
        <w:t>‘</w:t>
      </w:r>
      <w:r w:rsidRPr="00876122">
        <w:rPr>
          <w:rFonts w:eastAsia="Times New Roman"/>
          <w:i/>
          <w:iCs/>
          <w:color w:val="000000"/>
          <w:szCs w:val="24"/>
          <w:shd w:val="clear" w:color="auto" w:fill="FFFFFF"/>
          <w:lang w:eastAsia="hr-HR" w:bidi="hr-HR"/>
        </w:rPr>
        <w:t>Europe’s democracy and economy rel</w:t>
      </w:r>
      <w:r w:rsidR="00F87055">
        <w:rPr>
          <w:rFonts w:eastAsia="Times New Roman"/>
          <w:i/>
          <w:iCs/>
          <w:color w:val="000000"/>
          <w:szCs w:val="24"/>
          <w:shd w:val="clear" w:color="auto" w:fill="FFFFFF"/>
          <w:lang w:eastAsia="hr-HR" w:bidi="hr-HR"/>
        </w:rPr>
        <w:t>y</w:t>
      </w:r>
      <w:r w:rsidRPr="00876122">
        <w:rPr>
          <w:rFonts w:eastAsia="Times New Roman"/>
          <w:i/>
          <w:iCs/>
          <w:color w:val="000000"/>
          <w:szCs w:val="24"/>
          <w:shd w:val="clear" w:color="auto" w:fill="FFFFFF"/>
          <w:lang w:eastAsia="hr-HR" w:bidi="hr-HR"/>
        </w:rPr>
        <w:t xml:space="preserve"> on the rule of law. It makes our society work and ensures that rights are defended, corruption is punished, and contracts are enforced. Strengthening the rule of law will be our daily work and duty.</w:t>
      </w:r>
      <w:r w:rsidRPr="00876122">
        <w:rPr>
          <w:rFonts w:eastAsia="Times New Roman"/>
          <w:color w:val="000000"/>
          <w:szCs w:val="24"/>
          <w:lang w:eastAsia="hr-HR" w:bidi="hr-HR"/>
        </w:rPr>
        <w:t xml:space="preserve"> </w:t>
      </w:r>
      <w:r w:rsidRPr="00876122">
        <w:rPr>
          <w:rFonts w:eastAsia="Times New Roman"/>
          <w:i/>
          <w:iCs/>
          <w:color w:val="000000"/>
          <w:szCs w:val="24"/>
          <w:shd w:val="clear" w:color="auto" w:fill="FFFFFF"/>
          <w:lang w:eastAsia="hr-HR" w:bidi="hr-HR"/>
        </w:rPr>
        <w:t xml:space="preserve">Respect of the rule of law is – and will be - a must for EU </w:t>
      </w:r>
      <w:proofErr w:type="gramStart"/>
      <w:r w:rsidRPr="00876122">
        <w:rPr>
          <w:rFonts w:eastAsia="Times New Roman"/>
          <w:i/>
          <w:iCs/>
          <w:color w:val="000000"/>
          <w:szCs w:val="24"/>
          <w:shd w:val="clear" w:color="auto" w:fill="FFFFFF"/>
          <w:lang w:eastAsia="hr-HR" w:bidi="hr-HR"/>
        </w:rPr>
        <w:t>funds</w:t>
      </w:r>
      <w:r w:rsidRPr="00876122">
        <w:rPr>
          <w:rFonts w:eastAsia="Times New Roman"/>
          <w:color w:val="000000"/>
          <w:szCs w:val="24"/>
          <w:shd w:val="clear" w:color="auto" w:fill="FFFFFF"/>
          <w:lang w:eastAsia="hr-HR" w:bidi="hr-HR"/>
        </w:rPr>
        <w:t>’</w:t>
      </w:r>
      <w:proofErr w:type="gramEnd"/>
      <w:r w:rsidRPr="00876122">
        <w:rPr>
          <w:rFonts w:eastAsia="Times New Roman"/>
          <w:color w:val="000000"/>
          <w:szCs w:val="24"/>
          <w:shd w:val="clear" w:color="auto" w:fill="FFFFFF"/>
          <w:lang w:eastAsia="hr-HR" w:bidi="hr-HR"/>
        </w:rPr>
        <w:t xml:space="preserve">. Since 2020 the Commission has established a comprehensive </w:t>
      </w:r>
      <w:r w:rsidR="00FF5628">
        <w:rPr>
          <w:rFonts w:eastAsia="Times New Roman"/>
          <w:color w:val="000000"/>
          <w:szCs w:val="24"/>
          <w:shd w:val="clear" w:color="auto" w:fill="FFFFFF"/>
          <w:lang w:eastAsia="hr-HR" w:bidi="hr-HR"/>
        </w:rPr>
        <w:t>a</w:t>
      </w:r>
      <w:r w:rsidRPr="00876122">
        <w:rPr>
          <w:rFonts w:eastAsia="Times New Roman"/>
          <w:color w:val="000000"/>
          <w:szCs w:val="24"/>
          <w:shd w:val="clear" w:color="auto" w:fill="FFFFFF"/>
          <w:lang w:eastAsia="hr-HR" w:bidi="hr-HR"/>
        </w:rPr>
        <w:t>nnual Rule of Law Cycle</w:t>
      </w:r>
      <w:r w:rsidR="00432589">
        <w:rPr>
          <w:rStyle w:val="FootnoteReference"/>
          <w:rFonts w:eastAsia="Times New Roman"/>
          <w:color w:val="000000"/>
          <w:szCs w:val="24"/>
          <w:lang w:eastAsia="hr-HR" w:bidi="hr-HR"/>
        </w:rPr>
        <w:footnoteReference w:id="4"/>
      </w:r>
      <w:r w:rsidRPr="00876122">
        <w:rPr>
          <w:rFonts w:eastAsia="Times New Roman"/>
          <w:color w:val="000000"/>
          <w:szCs w:val="24"/>
          <w:shd w:val="clear" w:color="auto" w:fill="FFFFFF"/>
          <w:lang w:eastAsia="hr-HR" w:bidi="hr-HR"/>
        </w:rPr>
        <w:t xml:space="preserve"> to </w:t>
      </w:r>
      <w:r w:rsidR="006E28E6">
        <w:rPr>
          <w:rFonts w:eastAsia="Times New Roman"/>
          <w:color w:val="000000"/>
          <w:szCs w:val="24"/>
          <w:shd w:val="clear" w:color="auto" w:fill="FFFFFF"/>
          <w:lang w:eastAsia="hr-HR" w:bidi="hr-HR"/>
        </w:rPr>
        <w:t xml:space="preserve">strengthen </w:t>
      </w:r>
      <w:r w:rsidRPr="00876122">
        <w:rPr>
          <w:rFonts w:eastAsia="Times New Roman"/>
          <w:color w:val="000000"/>
          <w:szCs w:val="24"/>
          <w:shd w:val="clear" w:color="auto" w:fill="FFFFFF"/>
          <w:lang w:eastAsia="hr-HR" w:bidi="hr-HR"/>
        </w:rPr>
        <w:t xml:space="preserve">its monitoring of the situation in </w:t>
      </w:r>
      <w:r w:rsidR="00B63EB7">
        <w:rPr>
          <w:rFonts w:eastAsia="Times New Roman"/>
          <w:color w:val="000000"/>
          <w:szCs w:val="24"/>
          <w:shd w:val="clear" w:color="auto" w:fill="FFFFFF"/>
          <w:lang w:eastAsia="hr-HR" w:bidi="hr-HR"/>
        </w:rPr>
        <w:t xml:space="preserve">the </w:t>
      </w:r>
      <w:r w:rsidRPr="00876122">
        <w:rPr>
          <w:rFonts w:eastAsia="Times New Roman"/>
          <w:color w:val="000000"/>
          <w:szCs w:val="24"/>
          <w:shd w:val="clear" w:color="auto" w:fill="FFFFFF"/>
          <w:lang w:eastAsia="hr-HR" w:bidi="hr-HR"/>
        </w:rPr>
        <w:t>Member States. The Rule of Law Cycle acts as a preventive tool, promoting dialogue and joint awareness of rule</w:t>
      </w:r>
      <w:r w:rsidR="00B335D7">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of</w:t>
      </w:r>
      <w:r w:rsidR="00B335D7">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law issues. At the centre of the cycle is the annual Rule of Law Report</w:t>
      </w:r>
      <w:r w:rsidR="00432589">
        <w:rPr>
          <w:rStyle w:val="FootnoteReference"/>
          <w:rFonts w:eastAsia="Times New Roman"/>
          <w:color w:val="000000"/>
          <w:szCs w:val="24"/>
          <w:lang w:eastAsia="hr-HR" w:bidi="hr-HR"/>
        </w:rPr>
        <w:footnoteReference w:id="5"/>
      </w:r>
      <w:r w:rsidRPr="00876122">
        <w:rPr>
          <w:rFonts w:eastAsia="Times New Roman"/>
          <w:color w:val="000000"/>
          <w:szCs w:val="24"/>
          <w:shd w:val="clear" w:color="auto" w:fill="FFFFFF"/>
          <w:lang w:eastAsia="hr-HR" w:bidi="hr-HR"/>
        </w:rPr>
        <w:t xml:space="preserve">, which provides a </w:t>
      </w:r>
      <w:r w:rsidR="001233DD">
        <w:rPr>
          <w:rFonts w:eastAsia="Times New Roman"/>
          <w:color w:val="000000"/>
          <w:szCs w:val="24"/>
          <w:shd w:val="clear" w:color="auto" w:fill="FFFFFF"/>
          <w:lang w:eastAsia="hr-HR" w:bidi="hr-HR"/>
        </w:rPr>
        <w:t xml:space="preserve">summary </w:t>
      </w:r>
      <w:r w:rsidRPr="00876122">
        <w:rPr>
          <w:rFonts w:eastAsia="Times New Roman"/>
          <w:color w:val="000000"/>
          <w:szCs w:val="24"/>
          <w:shd w:val="clear" w:color="auto" w:fill="FFFFFF"/>
          <w:lang w:eastAsia="hr-HR" w:bidi="hr-HR"/>
        </w:rPr>
        <w:t xml:space="preserve">of significant developments – both positive and negative – in all Member States and in the Union as a whole. </w:t>
      </w:r>
      <w:r w:rsidRPr="00876122">
        <w:rPr>
          <w:rFonts w:eastAsia="Times New Roman"/>
          <w:color w:val="000000"/>
          <w:szCs w:val="24"/>
          <w:lang w:eastAsia="hr-HR" w:bidi="hr-HR"/>
        </w:rPr>
        <w:t xml:space="preserve">In its Communication of </w:t>
      </w:r>
      <w:r w:rsidRPr="00876122">
        <w:rPr>
          <w:rFonts w:eastAsia="Times New Roman"/>
          <w:color w:val="000000"/>
          <w:szCs w:val="24"/>
          <w:lang w:eastAsia="bg-BG" w:bidi="bg-BG"/>
        </w:rPr>
        <w:t>17</w:t>
      </w:r>
      <w:r w:rsidR="00876122">
        <w:rPr>
          <w:rFonts w:eastAsia="Times New Roman"/>
          <w:color w:val="000000"/>
          <w:szCs w:val="24"/>
          <w:lang w:eastAsia="bg-BG" w:bidi="bg-BG"/>
        </w:rPr>
        <w:t> </w:t>
      </w:r>
      <w:r w:rsidRPr="00876122">
        <w:rPr>
          <w:rFonts w:eastAsia="Times New Roman"/>
          <w:color w:val="000000"/>
          <w:szCs w:val="24"/>
          <w:lang w:eastAsia="hr-HR" w:bidi="hr-HR"/>
        </w:rPr>
        <w:t xml:space="preserve">July </w:t>
      </w:r>
      <w:r w:rsidRPr="00876122">
        <w:rPr>
          <w:rFonts w:eastAsia="Times New Roman"/>
          <w:color w:val="000000"/>
          <w:szCs w:val="24"/>
          <w:lang w:eastAsia="bg-BG" w:bidi="bg-BG"/>
        </w:rPr>
        <w:t xml:space="preserve">2019 </w:t>
      </w:r>
      <w:r w:rsidRPr="00876122">
        <w:rPr>
          <w:rFonts w:eastAsia="Times New Roman"/>
          <w:color w:val="000000"/>
          <w:szCs w:val="24"/>
          <w:lang w:eastAsia="hr-HR" w:bidi="hr-HR"/>
        </w:rPr>
        <w:t xml:space="preserve">on </w:t>
      </w:r>
      <w:bookmarkStart w:id="3" w:name="_Hlk205397318"/>
      <w:r w:rsidRPr="00B962D3">
        <w:rPr>
          <w:rFonts w:eastAsia="Times New Roman"/>
          <w:color w:val="000000"/>
          <w:szCs w:val="24"/>
          <w:lang w:eastAsia="hr-HR" w:bidi="hr-HR"/>
        </w:rPr>
        <w:t xml:space="preserve">Strengthening the rule of law within the Union </w:t>
      </w:r>
      <w:r w:rsidRPr="00B962D3">
        <w:rPr>
          <w:rFonts w:eastAsia="Times New Roman"/>
          <w:color w:val="000000"/>
          <w:szCs w:val="24"/>
          <w:lang w:eastAsia="bg-BG" w:bidi="bg-BG"/>
        </w:rPr>
        <w:t xml:space="preserve">– </w:t>
      </w:r>
      <w:r w:rsidRPr="00B962D3">
        <w:rPr>
          <w:rFonts w:eastAsia="Times New Roman"/>
          <w:color w:val="000000"/>
          <w:szCs w:val="24"/>
          <w:lang w:eastAsia="hr-HR" w:bidi="hr-HR"/>
        </w:rPr>
        <w:t>A blueprint for action</w:t>
      </w:r>
      <w:bookmarkEnd w:id="3"/>
      <w:r w:rsidRPr="00876122">
        <w:rPr>
          <w:rStyle w:val="FootnoteReference"/>
        </w:rPr>
        <w:footnoteReference w:id="6"/>
      </w:r>
      <w:r w:rsidRPr="00876122">
        <w:rPr>
          <w:rFonts w:eastAsia="Times New Roman"/>
          <w:color w:val="000000"/>
          <w:szCs w:val="24"/>
          <w:lang w:eastAsia="hr-HR" w:bidi="hr-HR"/>
        </w:rPr>
        <w:t xml:space="preserve">, the Commission underlined that the European project relies on respect for the rule of law in all Member States. </w:t>
      </w:r>
      <w:r w:rsidRPr="00876122">
        <w:rPr>
          <w:rFonts w:eastAsia="Times New Roman"/>
          <w:color w:val="000000"/>
          <w:szCs w:val="24"/>
          <w:shd w:val="clear" w:color="auto" w:fill="FFFFFF"/>
          <w:lang w:eastAsia="hr-HR" w:bidi="hr-HR"/>
        </w:rPr>
        <w:t>Therefore, judicial networks, legal professionals, justice practitioners and civil society organisations</w:t>
      </w:r>
      <w:r w:rsidR="004C3769">
        <w:rPr>
          <w:rFonts w:eastAsia="Times New Roman"/>
          <w:color w:val="000000"/>
          <w:szCs w:val="24"/>
          <w:shd w:val="clear" w:color="auto" w:fill="FFFFFF"/>
          <w:lang w:eastAsia="hr-HR" w:bidi="hr-HR"/>
        </w:rPr>
        <w:t xml:space="preserve"> </w:t>
      </w:r>
      <w:r w:rsidR="005D6005">
        <w:rPr>
          <w:rFonts w:eastAsia="Times New Roman"/>
          <w:color w:val="000000"/>
          <w:szCs w:val="24"/>
          <w:shd w:val="clear" w:color="auto" w:fill="FFFFFF"/>
          <w:lang w:eastAsia="hr-HR" w:bidi="hr-HR"/>
        </w:rPr>
        <w:t xml:space="preserve">have a crucial role in </w:t>
      </w:r>
      <w:r w:rsidR="00F530B5">
        <w:rPr>
          <w:rFonts w:eastAsia="Times New Roman"/>
          <w:color w:val="000000"/>
          <w:szCs w:val="24"/>
          <w:shd w:val="clear" w:color="auto" w:fill="FFFFFF"/>
          <w:lang w:eastAsia="hr-HR" w:bidi="hr-HR"/>
        </w:rPr>
        <w:t>help</w:t>
      </w:r>
      <w:r w:rsidR="005D6005">
        <w:rPr>
          <w:rFonts w:eastAsia="Times New Roman"/>
          <w:color w:val="000000"/>
          <w:szCs w:val="24"/>
          <w:shd w:val="clear" w:color="auto" w:fill="FFFFFF"/>
          <w:lang w:eastAsia="hr-HR" w:bidi="hr-HR"/>
        </w:rPr>
        <w:t>ing to</w:t>
      </w:r>
      <w:r w:rsidR="00F530B5">
        <w:rPr>
          <w:rFonts w:eastAsia="Times New Roman"/>
          <w:color w:val="000000"/>
          <w:szCs w:val="24"/>
          <w:shd w:val="clear" w:color="auto" w:fill="FFFFFF"/>
          <w:lang w:eastAsia="hr-HR" w:bidi="hr-HR"/>
        </w:rPr>
        <w:t xml:space="preserve"> promote</w:t>
      </w:r>
      <w:r w:rsidR="004C3769" w:rsidRPr="00876122">
        <w:rPr>
          <w:rFonts w:eastAsia="Times New Roman"/>
          <w:color w:val="000000"/>
          <w:szCs w:val="24"/>
          <w:shd w:val="clear" w:color="auto" w:fill="FFFFFF"/>
          <w:lang w:eastAsia="hr-HR" w:bidi="hr-HR"/>
        </w:rPr>
        <w:t xml:space="preserve"> and uphold the rule of law</w:t>
      </w:r>
      <w:r w:rsidRPr="00876122">
        <w:rPr>
          <w:rFonts w:eastAsia="Times New Roman"/>
          <w:color w:val="000000"/>
          <w:szCs w:val="24"/>
          <w:shd w:val="clear" w:color="auto" w:fill="FFFFFF"/>
          <w:lang w:eastAsia="hr-HR" w:bidi="hr-HR"/>
        </w:rPr>
        <w:t>, effective</w:t>
      </w:r>
      <w:r w:rsidR="007351BF">
        <w:rPr>
          <w:rFonts w:eastAsia="Times New Roman"/>
          <w:color w:val="000000"/>
          <w:szCs w:val="24"/>
          <w:shd w:val="clear" w:color="auto" w:fill="FFFFFF"/>
          <w:lang w:eastAsia="hr-HR" w:bidi="hr-HR"/>
        </w:rPr>
        <w:t>ly</w:t>
      </w:r>
      <w:r w:rsidRPr="00876122">
        <w:rPr>
          <w:rFonts w:eastAsia="Times New Roman"/>
          <w:color w:val="000000"/>
          <w:szCs w:val="24"/>
          <w:shd w:val="clear" w:color="auto" w:fill="FFFFFF"/>
          <w:lang w:eastAsia="hr-HR" w:bidi="hr-HR"/>
        </w:rPr>
        <w:t xml:space="preserve"> monitor the rule</w:t>
      </w:r>
      <w:r w:rsidR="004D2119">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of</w:t>
      </w:r>
      <w:r w:rsidR="004D2119">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law situation on the ground and further strengthen the rule</w:t>
      </w:r>
      <w:r w:rsidR="004D2119">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of</w:t>
      </w:r>
      <w:r w:rsidR="003C3425">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 xml:space="preserve">law culture </w:t>
      </w:r>
      <w:r w:rsidR="007351BF">
        <w:rPr>
          <w:rFonts w:eastAsia="Times New Roman"/>
          <w:color w:val="000000"/>
          <w:szCs w:val="24"/>
          <w:shd w:val="clear" w:color="auto" w:fill="FFFFFF"/>
          <w:lang w:eastAsia="hr-HR" w:bidi="hr-HR"/>
        </w:rPr>
        <w:t xml:space="preserve">by </w:t>
      </w:r>
      <w:r w:rsidRPr="00876122">
        <w:rPr>
          <w:rFonts w:eastAsia="Times New Roman"/>
          <w:color w:val="000000"/>
          <w:szCs w:val="24"/>
          <w:shd w:val="clear" w:color="auto" w:fill="FFFFFF"/>
          <w:lang w:eastAsia="hr-HR" w:bidi="hr-HR"/>
        </w:rPr>
        <w:t>promoting rule</w:t>
      </w:r>
      <w:r w:rsidR="00747200">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of</w:t>
      </w:r>
      <w:r w:rsidR="00747200">
        <w:rPr>
          <w:rFonts w:eastAsia="Times New Roman"/>
          <w:color w:val="000000"/>
          <w:szCs w:val="24"/>
          <w:shd w:val="clear" w:color="auto" w:fill="FFFFFF"/>
          <w:lang w:eastAsia="hr-HR" w:bidi="hr-HR"/>
        </w:rPr>
        <w:t>-</w:t>
      </w:r>
      <w:r w:rsidRPr="00876122">
        <w:rPr>
          <w:rFonts w:eastAsia="Times New Roman"/>
          <w:color w:val="000000"/>
          <w:szCs w:val="24"/>
          <w:shd w:val="clear" w:color="auto" w:fill="FFFFFF"/>
          <w:lang w:eastAsia="hr-HR" w:bidi="hr-HR"/>
        </w:rPr>
        <w:t xml:space="preserve">law standards and educational activities for the </w:t>
      </w:r>
      <w:proofErr w:type="gramStart"/>
      <w:r w:rsidRPr="00876122">
        <w:rPr>
          <w:rFonts w:eastAsia="Times New Roman"/>
          <w:color w:val="000000"/>
          <w:szCs w:val="24"/>
          <w:shd w:val="clear" w:color="auto" w:fill="FFFFFF"/>
          <w:lang w:eastAsia="hr-HR" w:bidi="hr-HR"/>
        </w:rPr>
        <w:t>general public</w:t>
      </w:r>
      <w:proofErr w:type="gramEnd"/>
      <w:r w:rsidRPr="00876122">
        <w:rPr>
          <w:rFonts w:eastAsia="Times New Roman"/>
          <w:color w:val="000000"/>
          <w:szCs w:val="24"/>
          <w:shd w:val="clear" w:color="auto" w:fill="FFFFFF"/>
          <w:lang w:eastAsia="hr-HR" w:bidi="hr-HR"/>
        </w:rPr>
        <w:t>.</w:t>
      </w:r>
      <w:r w:rsidRPr="00876122" w:rsidDel="00876122">
        <w:rPr>
          <w:rFonts w:eastAsia="Times New Roman"/>
          <w:color w:val="000000"/>
          <w:szCs w:val="24"/>
          <w:shd w:val="clear" w:color="auto" w:fill="FFFFFF"/>
          <w:lang w:eastAsia="hr-HR" w:bidi="hr-HR"/>
        </w:rPr>
        <w:t xml:space="preserve"> </w:t>
      </w:r>
    </w:p>
    <w:p w14:paraId="70AB8BFB" w14:textId="5B6DE2F4"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Calibri"/>
          <w:color w:val="000000"/>
          <w:szCs w:val="24"/>
          <w:lang w:eastAsia="hr-HR" w:bidi="hr-HR"/>
        </w:rPr>
        <w:t xml:space="preserve">Moreover, </w:t>
      </w:r>
      <w:r w:rsidRPr="00876122">
        <w:rPr>
          <w:rFonts w:eastAsia="Calibri"/>
          <w:szCs w:val="24"/>
        </w:rPr>
        <w:t>the 2025 EU Competitiveness Compass</w:t>
      </w:r>
      <w:r w:rsidRPr="00876122">
        <w:rPr>
          <w:rStyle w:val="FootnoteReference"/>
        </w:rPr>
        <w:footnoteReference w:id="7"/>
      </w:r>
      <w:r w:rsidRPr="00876122">
        <w:rPr>
          <w:rFonts w:eastAsia="Calibri"/>
          <w:szCs w:val="24"/>
        </w:rPr>
        <w:t xml:space="preserve"> and the accompanying </w:t>
      </w:r>
      <w:bookmarkStart w:id="4" w:name="_Hlk205397671"/>
      <w:r w:rsidRPr="00876122">
        <w:rPr>
          <w:rFonts w:eastAsia="Calibri"/>
          <w:szCs w:val="24"/>
        </w:rPr>
        <w:t>2025 Annual Single Market and Competitiveness Report</w:t>
      </w:r>
      <w:bookmarkEnd w:id="4"/>
      <w:r w:rsidRPr="00876122">
        <w:rPr>
          <w:rStyle w:val="FootnoteReference"/>
        </w:rPr>
        <w:footnoteReference w:id="8"/>
      </w:r>
      <w:r w:rsidRPr="00876122" w:rsidDel="00DC6ECE">
        <w:rPr>
          <w:rFonts w:eastAsia="Calibri"/>
          <w:szCs w:val="24"/>
        </w:rPr>
        <w:t xml:space="preserve"> </w:t>
      </w:r>
      <w:r w:rsidRPr="00876122">
        <w:rPr>
          <w:rFonts w:eastAsia="Calibri"/>
          <w:szCs w:val="24"/>
        </w:rPr>
        <w:t xml:space="preserve">recall that respect for the rule of law is central also </w:t>
      </w:r>
      <w:r w:rsidR="00754E6B">
        <w:rPr>
          <w:rFonts w:eastAsia="Calibri"/>
          <w:szCs w:val="24"/>
        </w:rPr>
        <w:t>to</w:t>
      </w:r>
      <w:r w:rsidR="00754E6B" w:rsidRPr="00876122">
        <w:rPr>
          <w:rFonts w:eastAsia="Calibri"/>
          <w:szCs w:val="24"/>
        </w:rPr>
        <w:t xml:space="preserve"> </w:t>
      </w:r>
      <w:r w:rsidRPr="00876122">
        <w:rPr>
          <w:rFonts w:eastAsia="Calibri"/>
          <w:szCs w:val="24"/>
        </w:rPr>
        <w:t>the functioning of the Single Market, providing a stable operating environment that gives the EU and its Member States a global competitive edge. Well-functioning and fully independent justice systems can have a positive impact on investment and are key for investment protection</w:t>
      </w:r>
      <w:r w:rsidR="00FF5F5C">
        <w:rPr>
          <w:rFonts w:eastAsia="Calibri"/>
          <w:szCs w:val="24"/>
        </w:rPr>
        <w:t>, thus</w:t>
      </w:r>
      <w:r w:rsidRPr="00876122">
        <w:rPr>
          <w:rFonts w:eastAsia="Calibri"/>
          <w:szCs w:val="24"/>
        </w:rPr>
        <w:t xml:space="preserve"> contribut</w:t>
      </w:r>
      <w:r w:rsidR="00FF5F5C">
        <w:rPr>
          <w:rFonts w:eastAsia="Calibri"/>
          <w:szCs w:val="24"/>
        </w:rPr>
        <w:t>ing</w:t>
      </w:r>
      <w:r w:rsidRPr="00876122">
        <w:rPr>
          <w:rFonts w:eastAsia="Calibri"/>
          <w:szCs w:val="24"/>
        </w:rPr>
        <w:t xml:space="preserve"> to productivity and competitiveness.</w:t>
      </w:r>
      <w:r w:rsidR="009A498B" w:rsidRPr="009A498B">
        <w:rPr>
          <w:rFonts w:eastAsia="Calibri"/>
          <w:szCs w:val="24"/>
        </w:rPr>
        <w:t xml:space="preserve"> </w:t>
      </w:r>
      <w:r w:rsidR="009A498B">
        <w:rPr>
          <w:rFonts w:eastAsia="Calibri"/>
          <w:szCs w:val="24"/>
        </w:rPr>
        <w:t>The 2025 Communication to the European Semester Spring Package</w:t>
      </w:r>
      <w:r w:rsidR="009A498B">
        <w:rPr>
          <w:rStyle w:val="FootnoteReference"/>
          <w:rFonts w:eastAsia="Calibri"/>
          <w:szCs w:val="24"/>
        </w:rPr>
        <w:footnoteReference w:id="9"/>
      </w:r>
      <w:r w:rsidR="009A498B">
        <w:rPr>
          <w:rFonts w:eastAsia="Calibri"/>
          <w:szCs w:val="24"/>
        </w:rPr>
        <w:t xml:space="preserve"> also emphasises the r</w:t>
      </w:r>
      <w:r w:rsidR="009A498B" w:rsidRPr="00966D99">
        <w:rPr>
          <w:rFonts w:eastAsia="Calibri"/>
          <w:szCs w:val="24"/>
        </w:rPr>
        <w:t xml:space="preserve">espect for the rule of law, </w:t>
      </w:r>
      <w:proofErr w:type="gramStart"/>
      <w:r w:rsidR="009A498B" w:rsidRPr="00966D99">
        <w:rPr>
          <w:rFonts w:eastAsia="Calibri"/>
          <w:szCs w:val="24"/>
        </w:rPr>
        <w:t>in particular independent</w:t>
      </w:r>
      <w:proofErr w:type="gramEnd"/>
      <w:r w:rsidR="009A498B" w:rsidRPr="00966D99">
        <w:rPr>
          <w:rFonts w:eastAsia="Calibri"/>
          <w:szCs w:val="24"/>
        </w:rPr>
        <w:t xml:space="preserve">, quality and efficient justice systems, </w:t>
      </w:r>
      <w:r w:rsidR="009A498B">
        <w:rPr>
          <w:rFonts w:eastAsia="Calibri"/>
          <w:szCs w:val="24"/>
        </w:rPr>
        <w:t>as</w:t>
      </w:r>
      <w:r w:rsidR="009A498B" w:rsidRPr="00966D99">
        <w:rPr>
          <w:rFonts w:eastAsia="Calibri"/>
          <w:szCs w:val="24"/>
        </w:rPr>
        <w:t xml:space="preserve"> key determinants of a business environment that fosters investment and innovation.</w:t>
      </w:r>
      <w:r w:rsidRPr="00876122">
        <w:rPr>
          <w:rFonts w:eastAsia="Calibri"/>
          <w:szCs w:val="24"/>
        </w:rPr>
        <w:t xml:space="preserve"> Since 2013, the European Commission has published the EU Justice Scoreboard</w:t>
      </w:r>
      <w:r w:rsidR="00505E30">
        <w:rPr>
          <w:rStyle w:val="FootnoteReference"/>
          <w:rFonts w:eastAsia="Calibri"/>
          <w:szCs w:val="24"/>
        </w:rPr>
        <w:footnoteReference w:id="10"/>
      </w:r>
      <w:r w:rsidR="00FC101C">
        <w:rPr>
          <w:rFonts w:eastAsia="Calibri"/>
          <w:szCs w:val="24"/>
        </w:rPr>
        <w:t>,</w:t>
      </w:r>
      <w:r w:rsidRPr="00876122">
        <w:rPr>
          <w:rFonts w:eastAsia="Calibri"/>
          <w:szCs w:val="24"/>
        </w:rPr>
        <w:t xml:space="preserve"> an annual comparative information tool </w:t>
      </w:r>
      <w:r w:rsidR="00EC0AFD">
        <w:rPr>
          <w:rFonts w:eastAsia="Calibri"/>
          <w:szCs w:val="24"/>
        </w:rPr>
        <w:t xml:space="preserve">aiming </w:t>
      </w:r>
      <w:r w:rsidR="00EC0AFD" w:rsidRPr="00876122">
        <w:rPr>
          <w:rFonts w:eastAsia="Calibri"/>
          <w:szCs w:val="24"/>
        </w:rPr>
        <w:t>to</w:t>
      </w:r>
      <w:r w:rsidR="00A82E4F">
        <w:rPr>
          <w:rFonts w:eastAsia="Calibri"/>
          <w:szCs w:val="24"/>
        </w:rPr>
        <w:t xml:space="preserve"> </w:t>
      </w:r>
      <w:r w:rsidRPr="00876122">
        <w:rPr>
          <w:rFonts w:eastAsia="Calibri"/>
          <w:szCs w:val="24"/>
        </w:rPr>
        <w:t>assist</w:t>
      </w:r>
      <w:r w:rsidR="00892579">
        <w:rPr>
          <w:rFonts w:eastAsia="Calibri"/>
          <w:szCs w:val="24"/>
        </w:rPr>
        <w:t xml:space="preserve"> </w:t>
      </w:r>
      <w:r w:rsidRPr="00876122">
        <w:rPr>
          <w:rFonts w:eastAsia="Calibri"/>
          <w:szCs w:val="24"/>
        </w:rPr>
        <w:t xml:space="preserve">the EU and </w:t>
      </w:r>
      <w:r w:rsidR="00892579">
        <w:rPr>
          <w:rFonts w:eastAsia="Calibri"/>
          <w:szCs w:val="24"/>
        </w:rPr>
        <w:t xml:space="preserve">help </w:t>
      </w:r>
      <w:r w:rsidRPr="00876122">
        <w:rPr>
          <w:rFonts w:eastAsia="Calibri"/>
          <w:szCs w:val="24"/>
        </w:rPr>
        <w:t xml:space="preserve">Member States </w:t>
      </w:r>
      <w:r w:rsidR="005D1492">
        <w:rPr>
          <w:rFonts w:eastAsia="Calibri"/>
          <w:szCs w:val="24"/>
        </w:rPr>
        <w:t xml:space="preserve">make </w:t>
      </w:r>
      <w:r w:rsidRPr="00876122">
        <w:rPr>
          <w:rFonts w:eastAsia="Calibri"/>
          <w:szCs w:val="24"/>
        </w:rPr>
        <w:t xml:space="preserve">their national justice systems </w:t>
      </w:r>
      <w:r w:rsidR="005D1492">
        <w:rPr>
          <w:rFonts w:eastAsia="Calibri"/>
          <w:szCs w:val="24"/>
        </w:rPr>
        <w:t>more effective</w:t>
      </w:r>
      <w:r w:rsidR="002B6F09">
        <w:rPr>
          <w:rFonts w:eastAsia="Calibri"/>
          <w:szCs w:val="24"/>
        </w:rPr>
        <w:t>. It does so</w:t>
      </w:r>
      <w:r w:rsidR="005D1492">
        <w:rPr>
          <w:rFonts w:eastAsia="Calibri"/>
          <w:szCs w:val="24"/>
        </w:rPr>
        <w:t xml:space="preserve"> </w:t>
      </w:r>
      <w:r w:rsidRPr="00876122">
        <w:rPr>
          <w:rFonts w:eastAsia="Calibri"/>
          <w:szCs w:val="24"/>
        </w:rPr>
        <w:t xml:space="preserve">by providing objective, reliable and comparable data on </w:t>
      </w:r>
      <w:proofErr w:type="gramStart"/>
      <w:r w:rsidRPr="00876122">
        <w:rPr>
          <w:rFonts w:eastAsia="Calibri"/>
          <w:szCs w:val="24"/>
        </w:rPr>
        <w:t>a number of</w:t>
      </w:r>
      <w:proofErr w:type="gramEnd"/>
      <w:r w:rsidRPr="00876122">
        <w:rPr>
          <w:rFonts w:eastAsia="Calibri"/>
          <w:szCs w:val="24"/>
        </w:rPr>
        <w:t xml:space="preserve"> indicators relevant </w:t>
      </w:r>
      <w:r w:rsidR="00220D57">
        <w:rPr>
          <w:rFonts w:eastAsia="Calibri"/>
          <w:szCs w:val="24"/>
        </w:rPr>
        <w:t xml:space="preserve">to </w:t>
      </w:r>
      <w:r w:rsidRPr="00876122">
        <w:rPr>
          <w:rFonts w:eastAsia="Calibri"/>
          <w:szCs w:val="24"/>
        </w:rPr>
        <w:t>the assessment of (</w:t>
      </w:r>
      <w:proofErr w:type="spellStart"/>
      <w:r w:rsidRPr="00876122">
        <w:rPr>
          <w:rFonts w:eastAsia="Calibri"/>
          <w:szCs w:val="24"/>
        </w:rPr>
        <w:t>i</w:t>
      </w:r>
      <w:proofErr w:type="spellEnd"/>
      <w:r w:rsidRPr="00876122">
        <w:rPr>
          <w:rFonts w:eastAsia="Calibri"/>
          <w:szCs w:val="24"/>
        </w:rPr>
        <w:t>)</w:t>
      </w:r>
      <w:r w:rsidR="002D0BC5">
        <w:rPr>
          <w:rFonts w:eastAsia="Calibri"/>
          <w:szCs w:val="24"/>
        </w:rPr>
        <w:t> </w:t>
      </w:r>
      <w:r w:rsidR="00902D60">
        <w:rPr>
          <w:rFonts w:eastAsia="Calibri"/>
          <w:szCs w:val="24"/>
        </w:rPr>
        <w:t xml:space="preserve">the </w:t>
      </w:r>
      <w:r w:rsidRPr="00876122">
        <w:rPr>
          <w:rFonts w:eastAsia="Calibri"/>
          <w:szCs w:val="24"/>
        </w:rPr>
        <w:t>efficiency, (ii)</w:t>
      </w:r>
      <w:r w:rsidR="002D0BC5">
        <w:rPr>
          <w:rFonts w:eastAsia="Calibri"/>
          <w:szCs w:val="24"/>
        </w:rPr>
        <w:t> </w:t>
      </w:r>
      <w:r w:rsidR="00902D60">
        <w:rPr>
          <w:rFonts w:eastAsia="Calibri"/>
          <w:szCs w:val="24"/>
        </w:rPr>
        <w:t xml:space="preserve">the </w:t>
      </w:r>
      <w:r w:rsidRPr="00876122">
        <w:rPr>
          <w:rFonts w:eastAsia="Calibri"/>
          <w:szCs w:val="24"/>
        </w:rPr>
        <w:t>quality and (iii)</w:t>
      </w:r>
      <w:r w:rsidR="002D0BC5">
        <w:rPr>
          <w:rFonts w:eastAsia="Calibri"/>
          <w:szCs w:val="24"/>
        </w:rPr>
        <w:t> </w:t>
      </w:r>
      <w:r w:rsidR="00902D60">
        <w:rPr>
          <w:rFonts w:eastAsia="Calibri"/>
          <w:szCs w:val="24"/>
        </w:rPr>
        <w:t xml:space="preserve">the </w:t>
      </w:r>
      <w:r w:rsidRPr="00876122">
        <w:rPr>
          <w:rFonts w:eastAsia="Calibri"/>
          <w:szCs w:val="24"/>
        </w:rPr>
        <w:t xml:space="preserve">independence of </w:t>
      </w:r>
      <w:r w:rsidR="0070575F">
        <w:rPr>
          <w:rFonts w:eastAsia="Calibri"/>
          <w:szCs w:val="24"/>
        </w:rPr>
        <w:t>the</w:t>
      </w:r>
      <w:r w:rsidRPr="00876122">
        <w:rPr>
          <w:rFonts w:eastAsia="Calibri"/>
          <w:szCs w:val="24"/>
        </w:rPr>
        <w:t xml:space="preserve"> Member </w:t>
      </w:r>
      <w:r w:rsidR="0070575F" w:rsidRPr="00876122">
        <w:rPr>
          <w:rFonts w:eastAsia="Calibri"/>
          <w:szCs w:val="24"/>
        </w:rPr>
        <w:t>States</w:t>
      </w:r>
      <w:r w:rsidR="0070575F">
        <w:rPr>
          <w:rFonts w:eastAsia="Calibri"/>
          <w:szCs w:val="24"/>
        </w:rPr>
        <w:t>’</w:t>
      </w:r>
      <w:r w:rsidR="0070575F" w:rsidRPr="00876122">
        <w:rPr>
          <w:rFonts w:eastAsia="Calibri"/>
          <w:szCs w:val="24"/>
        </w:rPr>
        <w:t xml:space="preserve"> </w:t>
      </w:r>
      <w:r w:rsidRPr="00876122">
        <w:rPr>
          <w:rFonts w:eastAsia="Calibri"/>
          <w:szCs w:val="24"/>
        </w:rPr>
        <w:t xml:space="preserve">justice systems. </w:t>
      </w:r>
      <w:r w:rsidRPr="00876122">
        <w:rPr>
          <w:rFonts w:eastAsia="Times New Roman"/>
          <w:color w:val="000000"/>
          <w:szCs w:val="24"/>
          <w:lang w:eastAsia="hr-HR" w:bidi="hr-HR"/>
        </w:rPr>
        <w:t xml:space="preserve">It is key to continue developing and improving both national and EU tools for collecting this type of information. In addition to the data </w:t>
      </w:r>
      <w:r w:rsidR="00892579">
        <w:rPr>
          <w:rFonts w:eastAsia="Times New Roman"/>
          <w:color w:val="000000"/>
          <w:szCs w:val="24"/>
          <w:lang w:eastAsia="hr-HR" w:bidi="hr-HR"/>
        </w:rPr>
        <w:t xml:space="preserve">collected </w:t>
      </w:r>
      <w:r w:rsidRPr="00876122">
        <w:rPr>
          <w:rFonts w:eastAsia="Times New Roman"/>
          <w:color w:val="000000"/>
          <w:szCs w:val="24"/>
          <w:lang w:eastAsia="hr-HR" w:bidi="hr-HR"/>
        </w:rPr>
        <w:t xml:space="preserve">from national justice systems, information </w:t>
      </w:r>
      <w:r w:rsidR="00C30FCC">
        <w:rPr>
          <w:rFonts w:eastAsia="Times New Roman"/>
          <w:color w:val="000000"/>
          <w:szCs w:val="24"/>
          <w:lang w:eastAsia="hr-HR" w:bidi="hr-HR"/>
        </w:rPr>
        <w:t xml:space="preserve">should </w:t>
      </w:r>
      <w:r w:rsidR="002E26EC">
        <w:rPr>
          <w:rFonts w:eastAsia="Times New Roman"/>
          <w:color w:val="000000"/>
          <w:szCs w:val="24"/>
          <w:lang w:eastAsia="hr-HR" w:bidi="hr-HR"/>
        </w:rPr>
        <w:t xml:space="preserve">also </w:t>
      </w:r>
      <w:r w:rsidR="00C30FCC">
        <w:rPr>
          <w:rFonts w:eastAsia="Times New Roman"/>
          <w:color w:val="000000"/>
          <w:szCs w:val="24"/>
          <w:lang w:eastAsia="hr-HR" w:bidi="hr-HR"/>
        </w:rPr>
        <w:t xml:space="preserve">be </w:t>
      </w:r>
      <w:r w:rsidR="00892579">
        <w:rPr>
          <w:rFonts w:eastAsia="Times New Roman"/>
          <w:color w:val="000000"/>
          <w:szCs w:val="24"/>
          <w:lang w:eastAsia="hr-HR" w:bidi="hr-HR"/>
        </w:rPr>
        <w:t>gathered</w:t>
      </w:r>
      <w:r w:rsidRPr="00876122">
        <w:rPr>
          <w:rFonts w:eastAsia="Times New Roman"/>
          <w:color w:val="000000"/>
          <w:szCs w:val="24"/>
          <w:lang w:eastAsia="hr-HR" w:bidi="hr-HR"/>
        </w:rPr>
        <w:t xml:space="preserve"> from </w:t>
      </w:r>
      <w:r w:rsidRPr="00876122">
        <w:rPr>
          <w:rFonts w:eastAsia="Times New Roman"/>
          <w:color w:val="000000"/>
          <w:szCs w:val="24"/>
          <w:shd w:val="clear" w:color="auto" w:fill="FFFFFF"/>
          <w:lang w:eastAsia="hr-HR" w:bidi="hr-HR"/>
        </w:rPr>
        <w:t>judicial networks, legal professionals, justice practitioners and civil society organisations</w:t>
      </w:r>
      <w:r w:rsidR="007C1EE9">
        <w:rPr>
          <w:rFonts w:eastAsia="Times New Roman"/>
          <w:color w:val="000000"/>
          <w:szCs w:val="24"/>
          <w:shd w:val="clear" w:color="auto" w:fill="FFFFFF"/>
          <w:lang w:eastAsia="hr-HR" w:bidi="hr-HR"/>
        </w:rPr>
        <w:t xml:space="preserve"> </w:t>
      </w:r>
      <w:r w:rsidRPr="00876122">
        <w:rPr>
          <w:rFonts w:eastAsia="Times New Roman"/>
          <w:color w:val="000000"/>
          <w:szCs w:val="24"/>
          <w:lang w:eastAsia="hr-HR" w:bidi="hr-HR"/>
        </w:rPr>
        <w:t xml:space="preserve">on how the justice systems </w:t>
      </w:r>
      <w:r w:rsidR="00E9057F">
        <w:rPr>
          <w:rFonts w:eastAsia="Times New Roman"/>
          <w:color w:val="000000"/>
          <w:szCs w:val="24"/>
          <w:lang w:eastAsia="hr-HR" w:bidi="hr-HR"/>
        </w:rPr>
        <w:t xml:space="preserve">work </w:t>
      </w:r>
      <w:r w:rsidRPr="00876122">
        <w:rPr>
          <w:rFonts w:eastAsia="Times New Roman"/>
          <w:color w:val="000000"/>
          <w:szCs w:val="24"/>
          <w:lang w:eastAsia="hr-HR" w:bidi="hr-HR"/>
        </w:rPr>
        <w:t xml:space="preserve">in practice (including the sharing of best practices) and how </w:t>
      </w:r>
      <w:r w:rsidR="00ED5C1C">
        <w:rPr>
          <w:rFonts w:eastAsia="Times New Roman"/>
          <w:color w:val="000000"/>
          <w:szCs w:val="24"/>
          <w:lang w:eastAsia="hr-HR" w:bidi="hr-HR"/>
        </w:rPr>
        <w:t xml:space="preserve">best </w:t>
      </w:r>
      <w:r w:rsidRPr="00876122">
        <w:rPr>
          <w:rFonts w:eastAsia="Times New Roman"/>
          <w:color w:val="000000"/>
          <w:szCs w:val="24"/>
          <w:lang w:eastAsia="hr-HR" w:bidi="hr-HR"/>
        </w:rPr>
        <w:t>to respond to and address potential challenges to their independence, quality and efficiency.</w:t>
      </w:r>
    </w:p>
    <w:p w14:paraId="002602D7" w14:textId="77777777" w:rsidR="00F47FDE" w:rsidRPr="00876122" w:rsidRDefault="00F47FDE" w:rsidP="00F47FDE">
      <w:pPr>
        <w:widowControl w:val="0"/>
        <w:shd w:val="clear" w:color="auto" w:fill="FFFFFF"/>
        <w:spacing w:before="0" w:after="100"/>
        <w:rPr>
          <w:rFonts w:eastAsia="Times New Roman"/>
          <w:b/>
          <w:bCs/>
          <w:color w:val="000000"/>
          <w:szCs w:val="24"/>
          <w:lang w:eastAsia="hr-HR" w:bidi="hr-HR"/>
        </w:rPr>
      </w:pPr>
      <w:r w:rsidRPr="00876122">
        <w:rPr>
          <w:rFonts w:eastAsia="Times New Roman"/>
          <w:b/>
          <w:bCs/>
          <w:i/>
          <w:iCs/>
          <w:color w:val="000000"/>
          <w:szCs w:val="24"/>
          <w:lang w:eastAsia="hr-HR" w:bidi="hr-HR"/>
        </w:rPr>
        <w:t>Judicial cooperation</w:t>
      </w:r>
    </w:p>
    <w:p w14:paraId="4D479FE3" w14:textId="0C7C68F3" w:rsidR="00F47FDE" w:rsidRPr="00876122" w:rsidRDefault="00F47FDE" w:rsidP="00F47FDE">
      <w:pPr>
        <w:widowControl w:val="0"/>
        <w:shd w:val="clear" w:color="auto" w:fill="FFFFFF"/>
        <w:spacing w:before="0" w:after="100"/>
        <w:rPr>
          <w:rFonts w:eastAsia="Times New Roman"/>
          <w:b/>
          <w:bCs/>
          <w:color w:val="000000"/>
          <w:szCs w:val="24"/>
          <w:lang w:eastAsia="hr-HR" w:bidi="hr-HR"/>
        </w:rPr>
      </w:pPr>
      <w:r w:rsidRPr="00876122">
        <w:rPr>
          <w:rFonts w:eastAsia="Times New Roman"/>
          <w:color w:val="000000"/>
          <w:szCs w:val="24"/>
          <w:lang w:eastAsia="hr-HR" w:bidi="hr-HR"/>
        </w:rPr>
        <w:t>Judicial cooperation in civil and criminal matters still faces various obstacles and access to justice remains difficult in some cases.</w:t>
      </w:r>
      <w:r w:rsidR="007D66F5">
        <w:rPr>
          <w:rFonts w:eastAsia="Times New Roman"/>
          <w:color w:val="000000"/>
          <w:szCs w:val="24"/>
          <w:lang w:eastAsia="hr-HR" w:bidi="hr-HR"/>
        </w:rPr>
        <w:t xml:space="preserve"> </w:t>
      </w:r>
      <w:r w:rsidR="002D23FD" w:rsidRPr="002D23FD">
        <w:rPr>
          <w:color w:val="333333"/>
          <w:szCs w:val="24"/>
          <w:shd w:val="clear" w:color="auto" w:fill="FFFFFF"/>
        </w:rPr>
        <w:t>R</w:t>
      </w:r>
      <w:r w:rsidR="002D23FD" w:rsidRPr="002D23FD">
        <w:rPr>
          <w:rFonts w:eastAsia="Times New Roman"/>
          <w:color w:val="000000"/>
          <w:szCs w:val="24"/>
          <w:lang w:eastAsia="hr-HR" w:bidi="hr-HR"/>
        </w:rPr>
        <w:t xml:space="preserve">einforcing mutual trust in other Member States’ judicial systems remains crucial as it is the foundation for effective mutual recognition and judicial cooperation. </w:t>
      </w:r>
      <w:r w:rsidRPr="002D23FD">
        <w:rPr>
          <w:rFonts w:eastAsia="Times New Roman"/>
          <w:color w:val="000000"/>
          <w:szCs w:val="24"/>
          <w:lang w:eastAsia="hr-HR" w:bidi="hr-HR"/>
        </w:rPr>
        <w:t xml:space="preserve">There is also </w:t>
      </w:r>
      <w:r w:rsidR="00846BBD" w:rsidRPr="002D23FD">
        <w:rPr>
          <w:rFonts w:eastAsia="Times New Roman"/>
          <w:color w:val="000000"/>
          <w:szCs w:val="24"/>
          <w:lang w:eastAsia="hr-HR" w:bidi="hr-HR"/>
        </w:rPr>
        <w:t>a</w:t>
      </w:r>
      <w:r w:rsidRPr="002D23FD">
        <w:rPr>
          <w:rFonts w:eastAsia="Times New Roman"/>
          <w:color w:val="000000"/>
          <w:szCs w:val="24"/>
          <w:lang w:eastAsia="hr-HR" w:bidi="hr-HR"/>
        </w:rPr>
        <w:t xml:space="preserve"> need</w:t>
      </w:r>
      <w:r w:rsidRPr="00876122">
        <w:rPr>
          <w:rFonts w:eastAsia="Times New Roman"/>
          <w:color w:val="000000"/>
          <w:szCs w:val="24"/>
          <w:lang w:eastAsia="hr-HR" w:bidi="hr-HR"/>
        </w:rPr>
        <w:t xml:space="preserve"> to simplify and digitalise communications, facilitate access to procedures and legal information and </w:t>
      </w:r>
      <w:r w:rsidR="00FD6AE7">
        <w:rPr>
          <w:rFonts w:eastAsia="Times New Roman"/>
          <w:color w:val="000000"/>
          <w:szCs w:val="24"/>
          <w:lang w:eastAsia="hr-HR" w:bidi="hr-HR"/>
        </w:rPr>
        <w:t>strengthen</w:t>
      </w:r>
      <w:r w:rsidR="00CC7A99">
        <w:rPr>
          <w:rFonts w:eastAsia="Times New Roman"/>
          <w:color w:val="000000"/>
          <w:szCs w:val="24"/>
          <w:lang w:eastAsia="hr-HR" w:bidi="hr-HR"/>
        </w:rPr>
        <w:t xml:space="preserve"> </w:t>
      </w:r>
      <w:r w:rsidR="00892579">
        <w:rPr>
          <w:rFonts w:eastAsia="Times New Roman"/>
          <w:color w:val="000000"/>
          <w:szCs w:val="24"/>
          <w:lang w:eastAsia="hr-HR" w:bidi="hr-HR"/>
        </w:rPr>
        <w:t xml:space="preserve">the </w:t>
      </w:r>
      <w:r w:rsidRPr="00876122">
        <w:rPr>
          <w:rFonts w:eastAsia="Times New Roman"/>
          <w:color w:val="000000"/>
          <w:szCs w:val="24"/>
          <w:lang w:eastAsia="hr-HR" w:bidi="hr-HR"/>
        </w:rPr>
        <w:t xml:space="preserve">connection to and between </w:t>
      </w:r>
      <w:r w:rsidRPr="00876122">
        <w:rPr>
          <w:rFonts w:eastAsia="Times New Roman"/>
          <w:color w:val="000000"/>
          <w:szCs w:val="24"/>
          <w:lang w:eastAsia="hr-HR" w:bidi="hr-HR"/>
        </w:rPr>
        <w:lastRenderedPageBreak/>
        <w:t>national systems in a cross-border context.</w:t>
      </w:r>
    </w:p>
    <w:p w14:paraId="4FCDA0A1" w14:textId="5DC54BDD" w:rsidR="00F47FDE" w:rsidRPr="00876122" w:rsidRDefault="00FC1C8D" w:rsidP="00F47FDE">
      <w:pPr>
        <w:widowControl w:val="0"/>
        <w:shd w:val="clear" w:color="auto" w:fill="FFFFFF"/>
        <w:spacing w:before="0" w:after="100"/>
        <w:rPr>
          <w:rFonts w:eastAsia="Times New Roman"/>
          <w:color w:val="000000"/>
          <w:szCs w:val="24"/>
          <w:lang w:eastAsia="hr-HR" w:bidi="hr-HR"/>
        </w:rPr>
      </w:pPr>
      <w:r>
        <w:rPr>
          <w:rFonts w:eastAsia="Times New Roman"/>
          <w:color w:val="000000"/>
          <w:szCs w:val="24"/>
          <w:lang w:eastAsia="hr-HR" w:bidi="hr-HR"/>
        </w:rPr>
        <w:t xml:space="preserve">It is therefore a key priority to </w:t>
      </w:r>
      <w:r w:rsidR="000B3D4B" w:rsidRPr="00876122">
        <w:rPr>
          <w:rFonts w:eastAsia="Times New Roman"/>
          <w:color w:val="000000"/>
          <w:szCs w:val="24"/>
          <w:lang w:eastAsia="hr-HR" w:bidi="hr-HR"/>
        </w:rPr>
        <w:t>continu</w:t>
      </w:r>
      <w:r w:rsidR="000B3D4B">
        <w:rPr>
          <w:rFonts w:eastAsia="Times New Roman"/>
          <w:color w:val="000000"/>
          <w:szCs w:val="24"/>
          <w:lang w:eastAsia="hr-HR" w:bidi="hr-HR"/>
        </w:rPr>
        <w:t>e</w:t>
      </w:r>
      <w:r w:rsidR="000B3D4B" w:rsidRPr="00876122">
        <w:rPr>
          <w:rFonts w:eastAsia="Times New Roman"/>
          <w:color w:val="000000"/>
          <w:szCs w:val="24"/>
          <w:lang w:eastAsia="hr-HR" w:bidi="hr-HR"/>
        </w:rPr>
        <w:t xml:space="preserve"> to build mutual trust</w:t>
      </w:r>
      <w:r w:rsidR="000B3D4B" w:rsidRPr="00876122" w:rsidDel="00FC1C8D">
        <w:rPr>
          <w:rFonts w:eastAsia="Times New Roman"/>
          <w:color w:val="000000"/>
          <w:szCs w:val="24"/>
          <w:lang w:eastAsia="hr-HR" w:bidi="hr-HR"/>
        </w:rPr>
        <w:t xml:space="preserve"> </w:t>
      </w:r>
      <w:r w:rsidR="00FC4ED9">
        <w:rPr>
          <w:rFonts w:eastAsia="Times New Roman"/>
          <w:color w:val="000000"/>
          <w:szCs w:val="24"/>
          <w:lang w:eastAsia="hr-HR" w:bidi="hr-HR"/>
        </w:rPr>
        <w:t xml:space="preserve">and </w:t>
      </w:r>
      <w:r w:rsidR="00470604">
        <w:rPr>
          <w:rFonts w:eastAsia="Times New Roman"/>
          <w:color w:val="000000"/>
          <w:szCs w:val="24"/>
          <w:lang w:eastAsia="hr-HR" w:bidi="hr-HR"/>
        </w:rPr>
        <w:t xml:space="preserve">to </w:t>
      </w:r>
      <w:r>
        <w:rPr>
          <w:rFonts w:eastAsia="Times New Roman"/>
          <w:color w:val="000000"/>
          <w:szCs w:val="24"/>
          <w:lang w:eastAsia="hr-HR" w:bidi="hr-HR"/>
        </w:rPr>
        <w:t>e</w:t>
      </w:r>
      <w:r w:rsidR="00F47FDE" w:rsidRPr="00876122">
        <w:rPr>
          <w:rFonts w:eastAsia="Times New Roman"/>
          <w:color w:val="000000"/>
          <w:szCs w:val="24"/>
          <w:lang w:eastAsia="hr-HR" w:bidi="hr-HR"/>
        </w:rPr>
        <w:t>nsur</w:t>
      </w:r>
      <w:r>
        <w:rPr>
          <w:rFonts w:eastAsia="Times New Roman"/>
          <w:color w:val="000000"/>
          <w:szCs w:val="24"/>
          <w:lang w:eastAsia="hr-HR" w:bidi="hr-HR"/>
        </w:rPr>
        <w:t>e</w:t>
      </w:r>
      <w:r w:rsidR="00F47FDE" w:rsidRPr="00876122">
        <w:rPr>
          <w:rFonts w:eastAsia="Times New Roman"/>
          <w:color w:val="000000"/>
          <w:szCs w:val="24"/>
          <w:lang w:eastAsia="hr-HR" w:bidi="hr-HR"/>
        </w:rPr>
        <w:t xml:space="preserve"> the correct application and enforcement of the existing U</w:t>
      </w:r>
      <w:r w:rsidR="00DF6207">
        <w:rPr>
          <w:rFonts w:eastAsia="Times New Roman"/>
          <w:color w:val="000000"/>
          <w:szCs w:val="24"/>
          <w:lang w:eastAsia="hr-HR" w:bidi="hr-HR"/>
        </w:rPr>
        <w:t>nion</w:t>
      </w:r>
      <w:r w:rsidR="00F47FDE" w:rsidRPr="00876122">
        <w:rPr>
          <w:rFonts w:eastAsia="Times New Roman"/>
          <w:color w:val="000000"/>
          <w:szCs w:val="24"/>
          <w:lang w:eastAsia="hr-HR" w:bidi="hr-HR"/>
        </w:rPr>
        <w:t xml:space="preserve"> </w:t>
      </w:r>
      <w:r w:rsidR="00876122">
        <w:rPr>
          <w:rFonts w:eastAsia="Times New Roman"/>
          <w:i/>
          <w:color w:val="000000"/>
          <w:szCs w:val="24"/>
          <w:lang w:eastAsia="hr-HR" w:bidi="hr-HR"/>
        </w:rPr>
        <w:t>acquis</w:t>
      </w:r>
      <w:r w:rsidR="00ED306F">
        <w:rPr>
          <w:rFonts w:eastAsia="Times New Roman"/>
          <w:color w:val="000000"/>
          <w:szCs w:val="24"/>
          <w:lang w:eastAsia="hr-HR" w:bidi="hr-HR"/>
        </w:rPr>
        <w:t xml:space="preserve"> on</w:t>
      </w:r>
      <w:r w:rsidR="00F47FDE" w:rsidRPr="00876122">
        <w:rPr>
          <w:rFonts w:eastAsia="Times New Roman"/>
          <w:color w:val="000000"/>
          <w:szCs w:val="24"/>
          <w:lang w:eastAsia="hr-HR" w:bidi="hr-HR"/>
        </w:rPr>
        <w:t xml:space="preserve"> judicial cooperation in civil and criminal matters.</w:t>
      </w:r>
    </w:p>
    <w:p w14:paraId="4F3EF745" w14:textId="7868C50B"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In the area of civil justice, </w:t>
      </w:r>
      <w:r w:rsidR="00FF4612">
        <w:rPr>
          <w:rFonts w:eastAsia="Times New Roman"/>
          <w:color w:val="000000"/>
          <w:szCs w:val="24"/>
          <w:lang w:eastAsia="hr-HR" w:bidi="hr-HR"/>
        </w:rPr>
        <w:t xml:space="preserve">part </w:t>
      </w:r>
      <w:r w:rsidRPr="00876122">
        <w:rPr>
          <w:rFonts w:eastAsia="Times New Roman"/>
          <w:color w:val="000000"/>
          <w:szCs w:val="24"/>
          <w:lang w:eastAsia="hr-HR" w:bidi="hr-HR"/>
        </w:rPr>
        <w:t>of th</w:t>
      </w:r>
      <w:r w:rsidR="00FF4612">
        <w:rPr>
          <w:rFonts w:eastAsia="Times New Roman"/>
          <w:color w:val="000000"/>
          <w:szCs w:val="24"/>
          <w:lang w:eastAsia="hr-HR" w:bidi="hr-HR"/>
        </w:rPr>
        <w:t>e</w:t>
      </w:r>
      <w:r w:rsidRPr="00876122">
        <w:rPr>
          <w:rFonts w:eastAsia="Times New Roman"/>
          <w:color w:val="000000"/>
          <w:szCs w:val="24"/>
          <w:lang w:eastAsia="hr-HR" w:bidi="hr-HR"/>
        </w:rPr>
        <w:t xml:space="preserve"> U</w:t>
      </w:r>
      <w:r w:rsidR="00DF6207">
        <w:rPr>
          <w:rFonts w:eastAsia="Times New Roman"/>
          <w:color w:val="000000"/>
          <w:szCs w:val="24"/>
          <w:lang w:eastAsia="hr-HR" w:bidi="hr-HR"/>
        </w:rPr>
        <w:t>nion</w:t>
      </w:r>
      <w:r w:rsidRPr="00876122">
        <w:rPr>
          <w:rFonts w:eastAsia="Times New Roman"/>
          <w:color w:val="000000"/>
          <w:szCs w:val="24"/>
          <w:lang w:eastAsia="hr-HR" w:bidi="hr-HR"/>
        </w:rPr>
        <w:t xml:space="preserve"> </w:t>
      </w:r>
      <w:r w:rsidR="00876122">
        <w:rPr>
          <w:rFonts w:eastAsia="Times New Roman"/>
          <w:i/>
          <w:color w:val="000000"/>
          <w:szCs w:val="24"/>
          <w:lang w:eastAsia="hr-HR" w:bidi="hr-HR"/>
        </w:rPr>
        <w:t>acquis</w:t>
      </w:r>
      <w:r w:rsidRPr="00876122">
        <w:rPr>
          <w:rFonts w:eastAsia="Times New Roman"/>
          <w:color w:val="000000"/>
          <w:szCs w:val="24"/>
          <w:lang w:eastAsia="hr-HR" w:bidi="hr-HR"/>
        </w:rPr>
        <w:t xml:space="preserve"> has been revised in the past years to </w:t>
      </w:r>
      <w:r w:rsidR="00B34238">
        <w:rPr>
          <w:rFonts w:eastAsia="Times New Roman"/>
          <w:color w:val="000000"/>
          <w:szCs w:val="24"/>
          <w:lang w:eastAsia="hr-HR" w:bidi="hr-HR"/>
        </w:rPr>
        <w:t>make it more effective</w:t>
      </w:r>
      <w:r w:rsidR="008F6D79">
        <w:rPr>
          <w:rFonts w:eastAsia="Times New Roman"/>
          <w:color w:val="000000"/>
          <w:szCs w:val="24"/>
          <w:lang w:eastAsia="hr-HR" w:bidi="hr-HR"/>
        </w:rPr>
        <w:t xml:space="preserve"> </w:t>
      </w:r>
      <w:r w:rsidRPr="00876122">
        <w:rPr>
          <w:rFonts w:eastAsia="Times New Roman"/>
          <w:color w:val="000000"/>
          <w:szCs w:val="24"/>
          <w:lang w:eastAsia="hr-HR" w:bidi="hr-HR"/>
        </w:rPr>
        <w:t xml:space="preserve">and better </w:t>
      </w:r>
      <w:r w:rsidR="00F941B0">
        <w:rPr>
          <w:rFonts w:eastAsia="Times New Roman"/>
          <w:color w:val="000000"/>
          <w:szCs w:val="24"/>
          <w:lang w:eastAsia="hr-HR" w:bidi="hr-HR"/>
        </w:rPr>
        <w:t xml:space="preserve">adapted </w:t>
      </w:r>
      <w:r w:rsidRPr="00876122">
        <w:rPr>
          <w:rFonts w:eastAsia="Times New Roman"/>
          <w:color w:val="000000"/>
          <w:szCs w:val="24"/>
          <w:lang w:eastAsia="hr-HR" w:bidi="hr-HR"/>
        </w:rPr>
        <w:t>to citizens</w:t>
      </w:r>
      <w:r w:rsidR="00FC1A83">
        <w:rPr>
          <w:rFonts w:eastAsia="Times New Roman"/>
          <w:color w:val="000000"/>
          <w:szCs w:val="24"/>
          <w:lang w:eastAsia="hr-HR" w:bidi="hr-HR"/>
        </w:rPr>
        <w:t>’</w:t>
      </w:r>
      <w:r w:rsidRPr="00876122">
        <w:rPr>
          <w:rFonts w:eastAsia="Times New Roman"/>
          <w:color w:val="000000"/>
          <w:szCs w:val="24"/>
          <w:lang w:eastAsia="hr-HR" w:bidi="hr-HR"/>
        </w:rPr>
        <w:t xml:space="preserve"> and practitioners</w:t>
      </w:r>
      <w:r w:rsidR="00FC1A83">
        <w:rPr>
          <w:rFonts w:eastAsia="Times New Roman"/>
          <w:color w:val="000000"/>
          <w:szCs w:val="24"/>
          <w:lang w:eastAsia="hr-HR" w:bidi="hr-HR"/>
        </w:rPr>
        <w:t xml:space="preserve">’ </w:t>
      </w:r>
      <w:r w:rsidR="00FC1A83" w:rsidRPr="00876122">
        <w:rPr>
          <w:rFonts w:eastAsia="Times New Roman"/>
          <w:color w:val="000000"/>
          <w:szCs w:val="24"/>
          <w:lang w:eastAsia="hr-HR" w:bidi="hr-HR"/>
        </w:rPr>
        <w:t>needs</w:t>
      </w:r>
      <w:r w:rsidRPr="00876122">
        <w:rPr>
          <w:rFonts w:eastAsia="Times New Roman"/>
          <w:color w:val="000000"/>
          <w:szCs w:val="24"/>
          <w:lang w:eastAsia="hr-HR" w:bidi="hr-HR"/>
        </w:rPr>
        <w:t xml:space="preserve">. </w:t>
      </w:r>
      <w:r w:rsidR="002C0957">
        <w:rPr>
          <w:rFonts w:eastAsia="Times New Roman"/>
          <w:color w:val="000000"/>
          <w:szCs w:val="24"/>
          <w:lang w:eastAsia="hr-HR" w:bidi="hr-HR"/>
        </w:rPr>
        <w:t>F</w:t>
      </w:r>
      <w:r w:rsidRPr="00876122">
        <w:rPr>
          <w:rFonts w:eastAsia="Times New Roman"/>
          <w:color w:val="000000"/>
          <w:szCs w:val="24"/>
          <w:lang w:eastAsia="hr-HR" w:bidi="hr-HR"/>
        </w:rPr>
        <w:t xml:space="preserve">urther reviews of the </w:t>
      </w:r>
      <w:r w:rsidR="00876122">
        <w:rPr>
          <w:rFonts w:eastAsia="Times New Roman"/>
          <w:i/>
          <w:color w:val="000000"/>
          <w:szCs w:val="24"/>
          <w:lang w:eastAsia="hr-HR" w:bidi="hr-HR"/>
        </w:rPr>
        <w:t>acquis</w:t>
      </w:r>
      <w:r w:rsidRPr="00876122">
        <w:rPr>
          <w:rFonts w:eastAsia="Times New Roman"/>
          <w:color w:val="000000"/>
          <w:szCs w:val="24"/>
          <w:lang w:eastAsia="hr-HR" w:bidi="hr-HR"/>
        </w:rPr>
        <w:t xml:space="preserve"> as well as new initiatives may be</w:t>
      </w:r>
      <w:r w:rsidR="0048051D">
        <w:rPr>
          <w:rFonts w:eastAsia="Times New Roman"/>
          <w:color w:val="000000"/>
          <w:szCs w:val="24"/>
          <w:lang w:eastAsia="hr-HR" w:bidi="hr-HR"/>
        </w:rPr>
        <w:t xml:space="preserve">come necessary </w:t>
      </w:r>
      <w:r w:rsidRPr="00876122">
        <w:rPr>
          <w:rFonts w:eastAsia="Times New Roman"/>
          <w:color w:val="000000"/>
          <w:szCs w:val="24"/>
          <w:lang w:eastAsia="hr-HR" w:bidi="hr-HR"/>
        </w:rPr>
        <w:t xml:space="preserve">in the future to </w:t>
      </w:r>
      <w:r w:rsidR="00244E66">
        <w:rPr>
          <w:rFonts w:eastAsia="Times New Roman"/>
          <w:color w:val="000000"/>
          <w:szCs w:val="24"/>
          <w:lang w:eastAsia="hr-HR" w:bidi="hr-HR"/>
        </w:rPr>
        <w:t xml:space="preserve">complement the existing framework, </w:t>
      </w:r>
      <w:r w:rsidR="00423DBC" w:rsidRPr="00876122">
        <w:rPr>
          <w:rFonts w:eastAsia="Times New Roman"/>
          <w:color w:val="000000"/>
          <w:szCs w:val="24"/>
          <w:lang w:eastAsia="hr-HR" w:bidi="hr-HR"/>
        </w:rPr>
        <w:t xml:space="preserve">continue to build mutual trust </w:t>
      </w:r>
      <w:r w:rsidR="003B43A6">
        <w:rPr>
          <w:rFonts w:eastAsia="Times New Roman"/>
          <w:color w:val="000000"/>
          <w:szCs w:val="24"/>
          <w:lang w:eastAsia="hr-HR" w:bidi="hr-HR"/>
        </w:rPr>
        <w:t xml:space="preserve">and </w:t>
      </w:r>
      <w:r w:rsidRPr="00876122">
        <w:rPr>
          <w:rFonts w:eastAsia="Times New Roman"/>
          <w:color w:val="000000"/>
          <w:szCs w:val="24"/>
          <w:lang w:eastAsia="hr-HR" w:bidi="hr-HR"/>
        </w:rPr>
        <w:t xml:space="preserve">make civil justice more efficient, faster and more </w:t>
      </w:r>
      <w:r w:rsidR="001126C1" w:rsidRPr="00876122">
        <w:rPr>
          <w:rFonts w:eastAsia="Times New Roman"/>
          <w:color w:val="000000"/>
          <w:szCs w:val="24"/>
          <w:lang w:eastAsia="hr-HR" w:bidi="hr-HR"/>
        </w:rPr>
        <w:t>economical</w:t>
      </w:r>
      <w:r w:rsidR="001126C1">
        <w:rPr>
          <w:rFonts w:eastAsia="Times New Roman"/>
          <w:color w:val="000000"/>
          <w:szCs w:val="24"/>
          <w:lang w:eastAsia="hr-HR" w:bidi="hr-HR"/>
        </w:rPr>
        <w:t>. To</w:t>
      </w:r>
      <w:r w:rsidR="00FF1890">
        <w:rPr>
          <w:rFonts w:eastAsia="Times New Roman"/>
          <w:color w:val="000000"/>
          <w:szCs w:val="24"/>
          <w:lang w:eastAsia="hr-HR" w:bidi="hr-HR"/>
        </w:rPr>
        <w:t xml:space="preserve"> s</w:t>
      </w:r>
      <w:r w:rsidRPr="00876122">
        <w:rPr>
          <w:rFonts w:eastAsia="Times New Roman"/>
          <w:color w:val="000000"/>
          <w:szCs w:val="24"/>
          <w:lang w:eastAsia="hr-HR" w:bidi="hr-HR"/>
        </w:rPr>
        <w:t>implif</w:t>
      </w:r>
      <w:r w:rsidR="00FF1890">
        <w:rPr>
          <w:rFonts w:eastAsia="Times New Roman"/>
          <w:color w:val="000000"/>
          <w:szCs w:val="24"/>
          <w:lang w:eastAsia="hr-HR" w:bidi="hr-HR"/>
        </w:rPr>
        <w:t>y</w:t>
      </w:r>
      <w:r w:rsidRPr="00876122">
        <w:rPr>
          <w:rFonts w:eastAsia="Times New Roman"/>
          <w:color w:val="000000"/>
          <w:szCs w:val="24"/>
          <w:lang w:eastAsia="hr-HR" w:bidi="hr-HR"/>
        </w:rPr>
        <w:t xml:space="preserve"> and modernis</w:t>
      </w:r>
      <w:r w:rsidR="00FF1890">
        <w:rPr>
          <w:rFonts w:eastAsia="Times New Roman"/>
          <w:color w:val="000000"/>
          <w:szCs w:val="24"/>
          <w:lang w:eastAsia="hr-HR" w:bidi="hr-HR"/>
        </w:rPr>
        <w:t>e</w:t>
      </w:r>
      <w:r w:rsidR="004E370F">
        <w:rPr>
          <w:rFonts w:eastAsia="Times New Roman"/>
          <w:color w:val="000000"/>
          <w:szCs w:val="24"/>
          <w:lang w:eastAsia="hr-HR" w:bidi="hr-HR"/>
        </w:rPr>
        <w:t xml:space="preserve"> </w:t>
      </w:r>
      <w:r w:rsidR="00CC54C7">
        <w:rPr>
          <w:rFonts w:eastAsia="Times New Roman"/>
          <w:color w:val="000000"/>
          <w:szCs w:val="24"/>
          <w:lang w:eastAsia="hr-HR" w:bidi="hr-HR"/>
        </w:rPr>
        <w:t xml:space="preserve">the </w:t>
      </w:r>
      <w:r w:rsidR="00D70B95">
        <w:rPr>
          <w:rFonts w:eastAsia="Times New Roman"/>
          <w:color w:val="000000"/>
          <w:szCs w:val="24"/>
          <w:lang w:eastAsia="hr-HR" w:bidi="hr-HR"/>
        </w:rPr>
        <w:t xml:space="preserve">current </w:t>
      </w:r>
      <w:r w:rsidR="00CC54C7">
        <w:rPr>
          <w:rFonts w:eastAsia="Times New Roman"/>
          <w:color w:val="000000"/>
          <w:szCs w:val="24"/>
          <w:lang w:eastAsia="hr-HR" w:bidi="hr-HR"/>
        </w:rPr>
        <w:t>framework</w:t>
      </w:r>
      <w:r w:rsidR="00FF1890">
        <w:rPr>
          <w:rFonts w:eastAsia="Times New Roman"/>
          <w:color w:val="000000"/>
          <w:szCs w:val="24"/>
          <w:lang w:eastAsia="hr-HR" w:bidi="hr-HR"/>
        </w:rPr>
        <w:t>,</w:t>
      </w:r>
      <w:r w:rsidR="00CC54C7">
        <w:rPr>
          <w:rFonts w:eastAsia="Times New Roman"/>
          <w:color w:val="000000"/>
          <w:szCs w:val="24"/>
          <w:lang w:eastAsia="hr-HR" w:bidi="hr-HR"/>
        </w:rPr>
        <w:t xml:space="preserve"> </w:t>
      </w:r>
      <w:r w:rsidR="00E73E42">
        <w:rPr>
          <w:rFonts w:eastAsia="Times New Roman"/>
          <w:color w:val="000000"/>
          <w:szCs w:val="24"/>
          <w:lang w:eastAsia="hr-HR" w:bidi="hr-HR"/>
        </w:rPr>
        <w:t>it is</w:t>
      </w:r>
      <w:r w:rsidRPr="00876122">
        <w:rPr>
          <w:rFonts w:eastAsia="Times New Roman"/>
          <w:color w:val="000000"/>
          <w:szCs w:val="24"/>
          <w:lang w:eastAsia="hr-HR" w:bidi="hr-HR"/>
        </w:rPr>
        <w:t xml:space="preserve"> also </w:t>
      </w:r>
      <w:r w:rsidR="009E04D5">
        <w:rPr>
          <w:rFonts w:eastAsia="Times New Roman"/>
          <w:color w:val="000000"/>
          <w:szCs w:val="24"/>
          <w:lang w:eastAsia="hr-HR" w:bidi="hr-HR"/>
        </w:rPr>
        <w:t xml:space="preserve">necessary to </w:t>
      </w:r>
      <w:r w:rsidRPr="00876122">
        <w:rPr>
          <w:rFonts w:eastAsia="Times New Roman"/>
          <w:color w:val="000000"/>
          <w:szCs w:val="24"/>
          <w:lang w:eastAsia="hr-HR" w:bidi="hr-HR"/>
        </w:rPr>
        <w:t xml:space="preserve">support key actors </w:t>
      </w:r>
      <w:r w:rsidR="00084284">
        <w:rPr>
          <w:rFonts w:eastAsia="Times New Roman"/>
          <w:color w:val="000000"/>
          <w:szCs w:val="24"/>
          <w:lang w:eastAsia="hr-HR" w:bidi="hr-HR"/>
        </w:rPr>
        <w:t>through</w:t>
      </w:r>
      <w:r w:rsidRPr="00876122">
        <w:rPr>
          <w:rFonts w:eastAsia="Times New Roman"/>
          <w:color w:val="000000"/>
          <w:szCs w:val="24"/>
          <w:lang w:eastAsia="hr-HR" w:bidi="hr-HR"/>
        </w:rPr>
        <w:t xml:space="preserve"> action and operating grants. </w:t>
      </w:r>
      <w:r w:rsidR="00BE760D">
        <w:rPr>
          <w:rFonts w:eastAsia="Times New Roman"/>
          <w:color w:val="000000"/>
          <w:szCs w:val="24"/>
          <w:lang w:eastAsia="hr-HR" w:bidi="hr-HR"/>
        </w:rPr>
        <w:t>T</w:t>
      </w:r>
      <w:r w:rsidR="00BE760D" w:rsidRPr="00876122">
        <w:rPr>
          <w:rFonts w:eastAsia="Times New Roman"/>
          <w:color w:val="000000"/>
          <w:szCs w:val="24"/>
          <w:lang w:eastAsia="hr-HR" w:bidi="hr-HR"/>
        </w:rPr>
        <w:t xml:space="preserve">he European Judicial Network in </w:t>
      </w:r>
      <w:r w:rsidR="00ED306F">
        <w:rPr>
          <w:rFonts w:eastAsia="Times New Roman"/>
          <w:color w:val="000000"/>
          <w:szCs w:val="24"/>
          <w:lang w:eastAsia="hr-HR" w:bidi="hr-HR"/>
        </w:rPr>
        <w:t>Civil and Commercial Matters</w:t>
      </w:r>
      <w:r w:rsidR="00BE760D" w:rsidRPr="00876122">
        <w:rPr>
          <w:rFonts w:eastAsia="Times New Roman"/>
          <w:color w:val="000000"/>
          <w:szCs w:val="24"/>
          <w:lang w:eastAsia="hr-HR" w:bidi="hr-HR"/>
        </w:rPr>
        <w:t xml:space="preserve"> (EJN</w:t>
      </w:r>
      <w:r w:rsidR="00562EDB">
        <w:rPr>
          <w:rFonts w:eastAsia="Times New Roman"/>
          <w:color w:val="000000"/>
          <w:szCs w:val="24"/>
          <w:lang w:eastAsia="hr-HR" w:bidi="hr-HR"/>
        </w:rPr>
        <w:t xml:space="preserve"> </w:t>
      </w:r>
      <w:r w:rsidR="00BE760D" w:rsidRPr="00876122">
        <w:rPr>
          <w:rFonts w:eastAsia="Times New Roman"/>
          <w:color w:val="000000"/>
          <w:szCs w:val="24"/>
          <w:lang w:eastAsia="hr-HR" w:bidi="hr-HR"/>
        </w:rPr>
        <w:t xml:space="preserve">civil) plays a fundamental role </w:t>
      </w:r>
      <w:r w:rsidR="00972FD4">
        <w:rPr>
          <w:rFonts w:eastAsia="Times New Roman"/>
          <w:color w:val="000000"/>
          <w:szCs w:val="24"/>
          <w:lang w:eastAsia="hr-HR" w:bidi="hr-HR"/>
        </w:rPr>
        <w:t xml:space="preserve">in </w:t>
      </w:r>
      <w:r w:rsidR="00BE760D" w:rsidRPr="00876122">
        <w:rPr>
          <w:rFonts w:eastAsia="Times New Roman"/>
          <w:color w:val="000000"/>
          <w:szCs w:val="24"/>
          <w:lang w:eastAsia="hr-HR" w:bidi="hr-HR"/>
        </w:rPr>
        <w:t xml:space="preserve">the implementation and effective application of </w:t>
      </w:r>
      <w:r w:rsidR="007C0447">
        <w:rPr>
          <w:rFonts w:eastAsia="Times New Roman"/>
          <w:color w:val="000000"/>
          <w:szCs w:val="24"/>
          <w:lang w:eastAsia="hr-HR" w:bidi="hr-HR"/>
        </w:rPr>
        <w:t>U</w:t>
      </w:r>
      <w:r w:rsidR="00DF6207">
        <w:rPr>
          <w:rFonts w:eastAsia="Times New Roman"/>
          <w:color w:val="000000"/>
          <w:szCs w:val="24"/>
          <w:lang w:eastAsia="hr-HR" w:bidi="hr-HR"/>
        </w:rPr>
        <w:t>nion</w:t>
      </w:r>
      <w:r w:rsidR="00BE760D" w:rsidRPr="00876122">
        <w:rPr>
          <w:rFonts w:eastAsia="Times New Roman"/>
          <w:color w:val="000000"/>
          <w:szCs w:val="24"/>
          <w:lang w:eastAsia="hr-HR" w:bidi="hr-HR"/>
        </w:rPr>
        <w:t xml:space="preserve"> instruments </w:t>
      </w:r>
      <w:proofErr w:type="gramStart"/>
      <w:r w:rsidR="00BE760D" w:rsidRPr="00876122">
        <w:rPr>
          <w:rFonts w:eastAsia="Times New Roman"/>
          <w:color w:val="000000"/>
          <w:szCs w:val="24"/>
          <w:lang w:eastAsia="hr-HR" w:bidi="hr-HR"/>
        </w:rPr>
        <w:t>in the area of</w:t>
      </w:r>
      <w:proofErr w:type="gramEnd"/>
      <w:r w:rsidR="00BE760D" w:rsidRPr="00876122">
        <w:rPr>
          <w:rFonts w:eastAsia="Times New Roman"/>
          <w:color w:val="000000"/>
          <w:szCs w:val="24"/>
          <w:lang w:eastAsia="hr-HR" w:bidi="hr-HR"/>
        </w:rPr>
        <w:t xml:space="preserve"> civil justice, including in the context of digitalisation</w:t>
      </w:r>
      <w:r w:rsidR="00D836B0">
        <w:rPr>
          <w:rFonts w:eastAsia="Times New Roman"/>
          <w:color w:val="000000"/>
          <w:szCs w:val="24"/>
          <w:lang w:eastAsia="hr-HR" w:bidi="hr-HR"/>
        </w:rPr>
        <w:t>. This was</w:t>
      </w:r>
      <w:r w:rsidRPr="00876122">
        <w:rPr>
          <w:rFonts w:eastAsia="Times New Roman"/>
          <w:color w:val="000000"/>
          <w:szCs w:val="24"/>
          <w:lang w:eastAsia="hr-HR" w:bidi="hr-HR"/>
        </w:rPr>
        <w:t xml:space="preserve"> highlighted </w:t>
      </w:r>
      <w:r w:rsidR="00816FED">
        <w:rPr>
          <w:rFonts w:eastAsia="Times New Roman"/>
          <w:color w:val="000000"/>
          <w:szCs w:val="24"/>
          <w:lang w:eastAsia="hr-HR" w:bidi="hr-HR"/>
        </w:rPr>
        <w:t xml:space="preserve">in </w:t>
      </w:r>
      <w:r w:rsidRPr="00876122">
        <w:rPr>
          <w:rFonts w:eastAsia="Times New Roman"/>
          <w:color w:val="000000"/>
          <w:szCs w:val="24"/>
          <w:lang w:eastAsia="hr-HR" w:bidi="hr-HR"/>
        </w:rPr>
        <w:t xml:space="preserve">the 2024 </w:t>
      </w:r>
      <w:r w:rsidR="00084284">
        <w:rPr>
          <w:rFonts w:eastAsia="Times New Roman"/>
          <w:color w:val="000000"/>
          <w:szCs w:val="24"/>
          <w:lang w:eastAsia="hr-HR" w:bidi="hr-HR"/>
        </w:rPr>
        <w:t>s</w:t>
      </w:r>
      <w:r w:rsidRPr="00876122">
        <w:rPr>
          <w:rFonts w:eastAsia="Times New Roman"/>
          <w:color w:val="000000"/>
          <w:szCs w:val="24"/>
          <w:lang w:eastAsia="hr-HR" w:bidi="hr-HR"/>
        </w:rPr>
        <w:t xml:space="preserve">trategic </w:t>
      </w:r>
      <w:r w:rsidR="00084284">
        <w:rPr>
          <w:rFonts w:eastAsia="Times New Roman"/>
          <w:color w:val="000000"/>
          <w:szCs w:val="24"/>
          <w:lang w:eastAsia="hr-HR" w:bidi="hr-HR"/>
        </w:rPr>
        <w:t>g</w:t>
      </w:r>
      <w:r w:rsidRPr="00876122">
        <w:rPr>
          <w:rFonts w:eastAsia="Times New Roman"/>
          <w:color w:val="000000"/>
          <w:szCs w:val="24"/>
          <w:lang w:eastAsia="hr-HR" w:bidi="hr-HR"/>
        </w:rPr>
        <w:t>uidelines for legislative and operational planning within the Area of Freedom, Security and Justice</w:t>
      </w:r>
      <w:r w:rsidRPr="00876122">
        <w:rPr>
          <w:rStyle w:val="FootnoteReference"/>
        </w:rPr>
        <w:footnoteReference w:id="11"/>
      </w:r>
      <w:r w:rsidRPr="00876122">
        <w:rPr>
          <w:rFonts w:eastAsia="Times New Roman"/>
          <w:color w:val="000000"/>
          <w:szCs w:val="24"/>
          <w:lang w:eastAsia="hr-HR" w:bidi="hr-HR"/>
        </w:rPr>
        <w:t xml:space="preserve"> a</w:t>
      </w:r>
      <w:r w:rsidR="00302283">
        <w:rPr>
          <w:rFonts w:eastAsia="Times New Roman"/>
          <w:color w:val="000000"/>
          <w:szCs w:val="24"/>
          <w:lang w:eastAsia="hr-HR" w:bidi="hr-HR"/>
        </w:rPr>
        <w:t>s well as</w:t>
      </w:r>
      <w:r w:rsidRPr="00876122">
        <w:rPr>
          <w:rFonts w:eastAsia="Times New Roman"/>
          <w:color w:val="000000"/>
          <w:szCs w:val="24"/>
          <w:lang w:eastAsia="hr-HR" w:bidi="hr-HR"/>
        </w:rPr>
        <w:t xml:space="preserve"> </w:t>
      </w:r>
      <w:r w:rsidR="00A7440F">
        <w:rPr>
          <w:rFonts w:eastAsia="Times New Roman"/>
          <w:color w:val="000000"/>
          <w:szCs w:val="24"/>
          <w:lang w:eastAsia="hr-HR" w:bidi="hr-HR"/>
        </w:rPr>
        <w:t>in</w:t>
      </w:r>
      <w:r w:rsidRPr="00876122">
        <w:rPr>
          <w:rFonts w:eastAsia="Times New Roman"/>
          <w:color w:val="000000"/>
          <w:szCs w:val="24"/>
          <w:lang w:eastAsia="hr-HR" w:bidi="hr-HR"/>
        </w:rPr>
        <w:t xml:space="preserve"> the 2024</w:t>
      </w:r>
      <w:r w:rsidR="00302283">
        <w:rPr>
          <w:rFonts w:eastAsia="Times New Roman"/>
          <w:color w:val="000000"/>
          <w:szCs w:val="24"/>
          <w:lang w:eastAsia="hr-HR" w:bidi="hr-HR"/>
        </w:rPr>
        <w:t> </w:t>
      </w:r>
      <w:r w:rsidRPr="00876122">
        <w:rPr>
          <w:rFonts w:eastAsia="Times New Roman"/>
          <w:color w:val="000000"/>
          <w:szCs w:val="24"/>
          <w:lang w:eastAsia="hr-HR" w:bidi="hr-HR"/>
        </w:rPr>
        <w:t xml:space="preserve">Council </w:t>
      </w:r>
      <w:r w:rsidR="009C1ED8">
        <w:rPr>
          <w:rFonts w:eastAsia="Times New Roman"/>
          <w:color w:val="000000"/>
          <w:szCs w:val="24"/>
          <w:lang w:eastAsia="hr-HR" w:bidi="hr-HR"/>
        </w:rPr>
        <w:t>c</w:t>
      </w:r>
      <w:r w:rsidRPr="00876122">
        <w:rPr>
          <w:rFonts w:eastAsia="Times New Roman"/>
          <w:color w:val="000000"/>
          <w:szCs w:val="24"/>
          <w:lang w:eastAsia="hr-HR" w:bidi="hr-HR"/>
        </w:rPr>
        <w:t xml:space="preserve">onclusions on </w:t>
      </w:r>
      <w:r w:rsidR="009C1ED8">
        <w:rPr>
          <w:rFonts w:eastAsia="Times New Roman"/>
          <w:color w:val="000000"/>
          <w:szCs w:val="24"/>
          <w:lang w:eastAsia="hr-HR" w:bidi="hr-HR"/>
        </w:rPr>
        <w:t>c</w:t>
      </w:r>
      <w:r w:rsidRPr="00876122">
        <w:rPr>
          <w:rFonts w:eastAsia="Times New Roman"/>
          <w:color w:val="000000"/>
          <w:szCs w:val="24"/>
          <w:lang w:eastAsia="hr-HR" w:bidi="hr-HR"/>
        </w:rPr>
        <w:t>ompetitiveness through civil justice</w:t>
      </w:r>
      <w:r w:rsidR="00A7440F">
        <w:rPr>
          <w:rFonts w:eastAsia="Times New Roman"/>
          <w:color w:val="000000"/>
          <w:szCs w:val="24"/>
          <w:lang w:eastAsia="hr-HR" w:bidi="hr-HR"/>
        </w:rPr>
        <w:t>, which</w:t>
      </w:r>
      <w:r w:rsidRPr="00876122">
        <w:rPr>
          <w:rFonts w:eastAsia="Times New Roman"/>
          <w:color w:val="000000"/>
          <w:szCs w:val="24"/>
          <w:lang w:eastAsia="hr-HR" w:bidi="hr-HR"/>
        </w:rPr>
        <w:t xml:space="preserve"> also called for financial support to national networks.</w:t>
      </w:r>
    </w:p>
    <w:p w14:paraId="3DA0EB4E" w14:textId="190D4447" w:rsidR="00F47FDE" w:rsidRPr="00876122" w:rsidRDefault="00BB4719" w:rsidP="00F47FDE">
      <w:pPr>
        <w:widowControl w:val="0"/>
        <w:shd w:val="clear" w:color="auto" w:fill="FFFFFF"/>
        <w:spacing w:before="0" w:after="100"/>
        <w:rPr>
          <w:rFonts w:eastAsia="Times New Roman"/>
          <w:color w:val="000000"/>
          <w:szCs w:val="24"/>
          <w:lang w:eastAsia="hr-HR" w:bidi="hr-HR"/>
        </w:rPr>
      </w:pPr>
      <w:r>
        <w:rPr>
          <w:rFonts w:eastAsia="Times New Roman"/>
          <w:color w:val="000000"/>
          <w:szCs w:val="24"/>
          <w:lang w:eastAsia="hr-HR" w:bidi="hr-HR"/>
        </w:rPr>
        <w:t xml:space="preserve">In </w:t>
      </w:r>
      <w:r w:rsidR="00F67728">
        <w:rPr>
          <w:rFonts w:eastAsia="Times New Roman"/>
          <w:color w:val="000000"/>
          <w:szCs w:val="24"/>
          <w:lang w:eastAsia="hr-HR" w:bidi="hr-HR"/>
        </w:rPr>
        <w:t>this respect</w:t>
      </w:r>
      <w:r w:rsidR="00145BEF">
        <w:rPr>
          <w:rFonts w:eastAsia="Times New Roman"/>
          <w:color w:val="000000"/>
          <w:szCs w:val="24"/>
          <w:lang w:eastAsia="hr-HR" w:bidi="hr-HR"/>
        </w:rPr>
        <w:t xml:space="preserve">, </w:t>
      </w:r>
      <w:r w:rsidR="00F47FDE" w:rsidRPr="00876122">
        <w:rPr>
          <w:rFonts w:eastAsia="Times New Roman"/>
          <w:color w:val="000000"/>
          <w:szCs w:val="24"/>
          <w:lang w:eastAsia="hr-HR" w:bidi="hr-HR"/>
        </w:rPr>
        <w:t xml:space="preserve">a first call for proposals </w:t>
      </w:r>
      <w:r w:rsidR="00630F82">
        <w:rPr>
          <w:rFonts w:eastAsia="Times New Roman"/>
          <w:color w:val="000000"/>
          <w:szCs w:val="24"/>
          <w:lang w:eastAsia="hr-HR" w:bidi="hr-HR"/>
        </w:rPr>
        <w:t xml:space="preserve">was </w:t>
      </w:r>
      <w:r w:rsidR="00F47FDE" w:rsidRPr="00876122">
        <w:rPr>
          <w:rFonts w:eastAsia="Times New Roman"/>
          <w:color w:val="000000"/>
          <w:szCs w:val="24"/>
          <w:lang w:eastAsia="hr-HR" w:bidi="hr-HR"/>
        </w:rPr>
        <w:t xml:space="preserve">launched in </w:t>
      </w:r>
      <w:r w:rsidR="00F47FDE" w:rsidRPr="00876122">
        <w:rPr>
          <w:rFonts w:eastAsia="Times New Roman"/>
          <w:color w:val="000000"/>
          <w:szCs w:val="24"/>
          <w:lang w:eastAsia="bg-BG" w:bidi="bg-BG"/>
        </w:rPr>
        <w:t xml:space="preserve">2018 </w:t>
      </w:r>
      <w:r w:rsidR="00F47FDE" w:rsidRPr="00876122">
        <w:rPr>
          <w:rFonts w:eastAsia="Times New Roman"/>
          <w:color w:val="000000"/>
          <w:szCs w:val="24"/>
          <w:lang w:eastAsia="hr-HR" w:bidi="hr-HR"/>
        </w:rPr>
        <w:t xml:space="preserve">for national networks </w:t>
      </w:r>
      <w:proofErr w:type="gramStart"/>
      <w:r w:rsidR="00C067CF">
        <w:rPr>
          <w:rFonts w:eastAsia="Times New Roman"/>
          <w:color w:val="000000"/>
          <w:szCs w:val="24"/>
          <w:lang w:eastAsia="hr-HR" w:bidi="hr-HR"/>
        </w:rPr>
        <w:t>in the area of</w:t>
      </w:r>
      <w:proofErr w:type="gramEnd"/>
      <w:r w:rsidR="00C067CF">
        <w:rPr>
          <w:rFonts w:eastAsia="Times New Roman"/>
          <w:color w:val="000000"/>
          <w:szCs w:val="24"/>
          <w:lang w:eastAsia="hr-HR" w:bidi="hr-HR"/>
        </w:rPr>
        <w:t xml:space="preserve"> </w:t>
      </w:r>
      <w:r w:rsidR="00F47FDE" w:rsidRPr="00876122">
        <w:rPr>
          <w:rFonts w:eastAsia="Times New Roman"/>
          <w:color w:val="000000"/>
          <w:szCs w:val="24"/>
          <w:lang w:eastAsia="hr-HR" w:bidi="hr-HR"/>
        </w:rPr>
        <w:t xml:space="preserve">civil justice cooperation, </w:t>
      </w:r>
      <w:r w:rsidR="00AA1EEE">
        <w:rPr>
          <w:rFonts w:eastAsia="Times New Roman"/>
          <w:color w:val="000000"/>
          <w:szCs w:val="24"/>
          <w:lang w:eastAsia="hr-HR" w:bidi="hr-HR"/>
        </w:rPr>
        <w:t>and</w:t>
      </w:r>
      <w:r w:rsidR="002F27A7">
        <w:rPr>
          <w:rFonts w:eastAsia="Times New Roman"/>
          <w:color w:val="000000"/>
          <w:szCs w:val="24"/>
          <w:lang w:eastAsia="hr-HR" w:bidi="hr-HR"/>
        </w:rPr>
        <w:t xml:space="preserve"> </w:t>
      </w:r>
      <w:r w:rsidR="00AA1EEE">
        <w:rPr>
          <w:rFonts w:eastAsia="Times New Roman"/>
          <w:color w:val="000000"/>
          <w:szCs w:val="24"/>
          <w:lang w:eastAsia="hr-HR" w:bidi="hr-HR"/>
        </w:rPr>
        <w:t>c</w:t>
      </w:r>
      <w:r w:rsidR="00F47FDE" w:rsidRPr="00876122">
        <w:rPr>
          <w:rFonts w:eastAsia="Times New Roman"/>
          <w:color w:val="000000"/>
          <w:szCs w:val="24"/>
          <w:lang w:eastAsia="hr-HR" w:bidi="hr-HR"/>
        </w:rPr>
        <w:t>ontinu</w:t>
      </w:r>
      <w:r w:rsidR="002F27A7">
        <w:rPr>
          <w:rFonts w:eastAsia="Times New Roman"/>
          <w:color w:val="000000"/>
          <w:szCs w:val="24"/>
          <w:lang w:eastAsia="hr-HR" w:bidi="hr-HR"/>
        </w:rPr>
        <w:t xml:space="preserve">ed </w:t>
      </w:r>
      <w:r w:rsidR="00F47FDE" w:rsidRPr="00876122">
        <w:rPr>
          <w:rFonts w:eastAsia="Times New Roman"/>
          <w:color w:val="000000"/>
          <w:szCs w:val="24"/>
          <w:lang w:eastAsia="hr-HR" w:bidi="hr-HR"/>
        </w:rPr>
        <w:t xml:space="preserve">funding </w:t>
      </w:r>
      <w:r w:rsidR="00D355E6">
        <w:rPr>
          <w:rFonts w:eastAsia="Times New Roman"/>
          <w:color w:val="000000"/>
          <w:szCs w:val="24"/>
          <w:lang w:eastAsia="hr-HR" w:bidi="hr-HR"/>
        </w:rPr>
        <w:t xml:space="preserve">must </w:t>
      </w:r>
      <w:r w:rsidR="00F47FDE" w:rsidRPr="00876122">
        <w:rPr>
          <w:rFonts w:eastAsia="Times New Roman"/>
          <w:color w:val="000000"/>
          <w:szCs w:val="24"/>
          <w:lang w:eastAsia="hr-HR" w:bidi="hr-HR"/>
        </w:rPr>
        <w:t xml:space="preserve">be </w:t>
      </w:r>
      <w:r w:rsidR="00BB61CE">
        <w:rPr>
          <w:rFonts w:eastAsia="Times New Roman"/>
          <w:color w:val="000000"/>
          <w:szCs w:val="24"/>
          <w:lang w:eastAsia="hr-HR" w:bidi="hr-HR"/>
        </w:rPr>
        <w:t>en</w:t>
      </w:r>
      <w:r w:rsidR="00F47FDE" w:rsidRPr="00876122">
        <w:rPr>
          <w:rFonts w:eastAsia="Times New Roman"/>
          <w:color w:val="000000"/>
          <w:szCs w:val="24"/>
          <w:lang w:eastAsia="hr-HR" w:bidi="hr-HR"/>
        </w:rPr>
        <w:t xml:space="preserve">sured to allow </w:t>
      </w:r>
      <w:r w:rsidR="00DE17C7">
        <w:rPr>
          <w:rFonts w:eastAsia="Times New Roman"/>
          <w:color w:val="000000"/>
          <w:szCs w:val="24"/>
          <w:lang w:eastAsia="hr-HR" w:bidi="hr-HR"/>
        </w:rPr>
        <w:t xml:space="preserve">members of </w:t>
      </w:r>
      <w:r w:rsidR="00F47FDE" w:rsidRPr="00876122">
        <w:rPr>
          <w:rFonts w:eastAsia="Times New Roman"/>
          <w:color w:val="000000"/>
          <w:szCs w:val="24"/>
          <w:lang w:eastAsia="hr-HR" w:bidi="hr-HR"/>
        </w:rPr>
        <w:t>the EJN</w:t>
      </w:r>
      <w:r w:rsidR="00F47FDE" w:rsidRPr="00876122">
        <w:rPr>
          <w:rStyle w:val="FootnoteReference"/>
        </w:rPr>
        <w:footnoteReference w:id="12"/>
      </w:r>
      <w:r w:rsidR="00F47FDE" w:rsidRPr="00876122">
        <w:rPr>
          <w:rFonts w:eastAsia="Times New Roman"/>
          <w:color w:val="000000"/>
          <w:szCs w:val="24"/>
          <w:vertAlign w:val="superscript"/>
          <w:lang w:eastAsia="hr-HR" w:bidi="hr-HR"/>
        </w:rPr>
        <w:t xml:space="preserve"> </w:t>
      </w:r>
      <w:r w:rsidR="00F47FDE" w:rsidRPr="00876122">
        <w:rPr>
          <w:rFonts w:eastAsia="Times New Roman"/>
          <w:color w:val="000000"/>
          <w:szCs w:val="24"/>
          <w:lang w:eastAsia="hr-HR" w:bidi="hr-HR"/>
        </w:rPr>
        <w:t>to establish</w:t>
      </w:r>
      <w:r w:rsidR="00562EDB">
        <w:rPr>
          <w:rFonts w:eastAsia="Times New Roman"/>
          <w:color w:val="000000"/>
          <w:szCs w:val="24"/>
          <w:lang w:eastAsia="hr-HR" w:bidi="hr-HR"/>
        </w:rPr>
        <w:t>, develop</w:t>
      </w:r>
      <w:r w:rsidR="00F47FDE" w:rsidRPr="00876122">
        <w:rPr>
          <w:rFonts w:eastAsia="Times New Roman"/>
          <w:color w:val="000000"/>
          <w:szCs w:val="24"/>
          <w:lang w:eastAsia="hr-HR" w:bidi="hr-HR"/>
        </w:rPr>
        <w:t xml:space="preserve"> </w:t>
      </w:r>
      <w:r w:rsidR="00B962D3" w:rsidRPr="00876122">
        <w:rPr>
          <w:rFonts w:eastAsia="Times New Roman"/>
          <w:color w:val="000000"/>
          <w:szCs w:val="24"/>
          <w:lang w:eastAsia="hr-HR" w:bidi="hr-HR"/>
        </w:rPr>
        <w:t>and</w:t>
      </w:r>
      <w:r w:rsidR="00B962D3">
        <w:rPr>
          <w:rFonts w:eastAsia="Times New Roman"/>
          <w:color w:val="000000"/>
          <w:szCs w:val="24"/>
          <w:lang w:eastAsia="hr-HR" w:bidi="hr-HR"/>
        </w:rPr>
        <w:t xml:space="preserve"> strengthen</w:t>
      </w:r>
      <w:r w:rsidR="006D5656">
        <w:rPr>
          <w:rFonts w:eastAsia="Times New Roman"/>
          <w:color w:val="000000"/>
          <w:szCs w:val="24"/>
          <w:lang w:eastAsia="hr-HR" w:bidi="hr-HR"/>
        </w:rPr>
        <w:t xml:space="preserve"> </w:t>
      </w:r>
      <w:r w:rsidR="00F47FDE" w:rsidRPr="00876122">
        <w:rPr>
          <w:rFonts w:eastAsia="Times New Roman"/>
          <w:color w:val="000000"/>
          <w:szCs w:val="24"/>
          <w:lang w:eastAsia="hr-HR" w:bidi="hr-HR"/>
        </w:rPr>
        <w:t xml:space="preserve">national judicial cooperation networks. The objective of </w:t>
      </w:r>
      <w:r w:rsidR="00491136">
        <w:rPr>
          <w:rFonts w:eastAsia="Times New Roman"/>
          <w:color w:val="000000"/>
          <w:szCs w:val="24"/>
          <w:lang w:eastAsia="hr-HR" w:bidi="hr-HR"/>
        </w:rPr>
        <w:t xml:space="preserve">the </w:t>
      </w:r>
      <w:r w:rsidR="00F47FDE" w:rsidRPr="00876122">
        <w:rPr>
          <w:rFonts w:eastAsia="Times New Roman"/>
          <w:color w:val="000000"/>
          <w:szCs w:val="24"/>
          <w:lang w:eastAsia="hr-HR" w:bidi="hr-HR"/>
        </w:rPr>
        <w:t xml:space="preserve">funding is twofold: setting up national judicial cooperation networks </w:t>
      </w:r>
      <w:r w:rsidR="00EF5E50">
        <w:rPr>
          <w:rFonts w:eastAsia="Times New Roman"/>
          <w:color w:val="000000"/>
          <w:szCs w:val="24"/>
          <w:lang w:eastAsia="hr-HR" w:bidi="hr-HR"/>
        </w:rPr>
        <w:t>in</w:t>
      </w:r>
      <w:r w:rsidR="00F47FDE" w:rsidRPr="00876122">
        <w:rPr>
          <w:rFonts w:eastAsia="Times New Roman"/>
          <w:color w:val="000000"/>
          <w:szCs w:val="24"/>
          <w:lang w:eastAsia="hr-HR" w:bidi="hr-HR"/>
        </w:rPr>
        <w:t xml:space="preserve"> Member States </w:t>
      </w:r>
      <w:r w:rsidR="00EF5E50">
        <w:rPr>
          <w:rFonts w:eastAsia="Times New Roman"/>
          <w:color w:val="000000"/>
          <w:szCs w:val="24"/>
          <w:lang w:eastAsia="hr-HR" w:bidi="hr-HR"/>
        </w:rPr>
        <w:t xml:space="preserve">that </w:t>
      </w:r>
      <w:r w:rsidR="00AC7F3F">
        <w:rPr>
          <w:rFonts w:eastAsia="Times New Roman"/>
          <w:color w:val="000000"/>
          <w:szCs w:val="24"/>
          <w:lang w:eastAsia="hr-HR" w:bidi="hr-HR"/>
        </w:rPr>
        <w:t xml:space="preserve">currently </w:t>
      </w:r>
      <w:r w:rsidR="00F47FDE" w:rsidRPr="00876122">
        <w:rPr>
          <w:rFonts w:eastAsia="Times New Roman"/>
          <w:color w:val="000000"/>
          <w:szCs w:val="24"/>
          <w:lang w:eastAsia="hr-HR" w:bidi="hr-HR"/>
        </w:rPr>
        <w:t xml:space="preserve">do not have </w:t>
      </w:r>
      <w:r w:rsidR="00D459EE">
        <w:rPr>
          <w:rFonts w:eastAsia="Times New Roman"/>
          <w:color w:val="000000"/>
          <w:szCs w:val="24"/>
          <w:lang w:eastAsia="hr-HR" w:bidi="hr-HR"/>
        </w:rPr>
        <w:t>a</w:t>
      </w:r>
      <w:r w:rsidR="00240B87">
        <w:rPr>
          <w:rFonts w:eastAsia="Times New Roman"/>
          <w:color w:val="000000"/>
          <w:szCs w:val="24"/>
          <w:lang w:eastAsia="hr-HR" w:bidi="hr-HR"/>
        </w:rPr>
        <w:t>n</w:t>
      </w:r>
      <w:r w:rsidR="00D459EE">
        <w:rPr>
          <w:rFonts w:eastAsia="Times New Roman"/>
          <w:color w:val="000000"/>
          <w:szCs w:val="24"/>
          <w:lang w:eastAsia="hr-HR" w:bidi="hr-HR"/>
        </w:rPr>
        <w:t>y</w:t>
      </w:r>
      <w:r w:rsidR="00240B87">
        <w:rPr>
          <w:rFonts w:eastAsia="Times New Roman"/>
          <w:color w:val="000000"/>
          <w:szCs w:val="24"/>
          <w:lang w:eastAsia="hr-HR" w:bidi="hr-HR"/>
        </w:rPr>
        <w:t xml:space="preserve"> </w:t>
      </w:r>
      <w:r w:rsidR="00F47FDE" w:rsidRPr="00876122">
        <w:rPr>
          <w:rFonts w:eastAsia="Times New Roman"/>
          <w:color w:val="000000"/>
          <w:szCs w:val="24"/>
          <w:lang w:eastAsia="hr-HR" w:bidi="hr-HR"/>
        </w:rPr>
        <w:t>and strengthening the functioning of existing networks.</w:t>
      </w:r>
    </w:p>
    <w:p w14:paraId="616FF5FC" w14:textId="64838F43"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In the area of judicial cooperation in criminal matters, there is a need to continue improving the application of instruments implementing the principle of mutual recognition in criminal matters</w:t>
      </w:r>
      <w:r w:rsidR="007843AE">
        <w:rPr>
          <w:rFonts w:eastAsia="Times New Roman"/>
          <w:color w:val="000000"/>
          <w:szCs w:val="24"/>
          <w:lang w:eastAsia="hr-HR" w:bidi="hr-HR"/>
        </w:rPr>
        <w:t>, in particular</w:t>
      </w:r>
      <w:r w:rsidRPr="00876122">
        <w:rPr>
          <w:rFonts w:eastAsia="Times New Roman"/>
          <w:color w:val="000000"/>
          <w:szCs w:val="24"/>
          <w:lang w:eastAsia="hr-HR" w:bidi="hr-HR"/>
        </w:rPr>
        <w:t xml:space="preserve"> the European Arrest Warrant, the three Framework Decisions on detention and alternative measures to detention</w:t>
      </w:r>
      <w:r w:rsidRPr="00876122">
        <w:rPr>
          <w:rStyle w:val="FootnoteReference"/>
        </w:rPr>
        <w:footnoteReference w:id="13"/>
      </w:r>
      <w:r w:rsidRPr="00876122">
        <w:rPr>
          <w:rFonts w:eastAsia="Times New Roman"/>
          <w:color w:val="000000"/>
          <w:szCs w:val="24"/>
          <w:lang w:eastAsia="hr-HR" w:bidi="hr-HR"/>
        </w:rPr>
        <w:t>, Framework Decision 2005/214/JHA on financial penalties</w:t>
      </w:r>
      <w:r w:rsidR="00DD5EF0">
        <w:rPr>
          <w:rStyle w:val="FootnoteReference"/>
          <w:rFonts w:eastAsia="Times New Roman"/>
          <w:color w:val="000000"/>
          <w:szCs w:val="24"/>
          <w:lang w:eastAsia="hr-HR" w:bidi="hr-HR"/>
        </w:rPr>
        <w:footnoteReference w:id="14"/>
      </w:r>
      <w:r w:rsidR="00A8202C">
        <w:rPr>
          <w:rFonts w:eastAsia="Times New Roman"/>
          <w:color w:val="000000"/>
          <w:szCs w:val="24"/>
          <w:lang w:eastAsia="hr-HR" w:bidi="hr-HR"/>
        </w:rPr>
        <w:t>,</w:t>
      </w:r>
      <w:r w:rsidRPr="00876122">
        <w:rPr>
          <w:rFonts w:eastAsia="Times New Roman"/>
          <w:color w:val="000000"/>
          <w:szCs w:val="24"/>
          <w:lang w:eastAsia="hr-HR" w:bidi="hr-HR"/>
        </w:rPr>
        <w:t xml:space="preserve"> Directive 2014/41/EU </w:t>
      </w:r>
      <w:r w:rsidR="00831409">
        <w:rPr>
          <w:rFonts w:eastAsia="Times New Roman"/>
          <w:color w:val="000000"/>
          <w:szCs w:val="24"/>
          <w:lang w:eastAsia="hr-HR" w:bidi="hr-HR"/>
        </w:rPr>
        <w:t xml:space="preserve">on </w:t>
      </w:r>
      <w:r w:rsidRPr="00876122">
        <w:rPr>
          <w:rFonts w:eastAsia="Times New Roman"/>
          <w:color w:val="000000"/>
          <w:szCs w:val="24"/>
          <w:lang w:eastAsia="hr-HR" w:bidi="hr-HR"/>
        </w:rPr>
        <w:t>the European Investigation Order</w:t>
      </w:r>
      <w:r w:rsidR="00DD5EF0" w:rsidRPr="00876122">
        <w:rPr>
          <w:rStyle w:val="FootnoteReference"/>
        </w:rPr>
        <w:footnoteReference w:id="15"/>
      </w:r>
      <w:r w:rsidRPr="00876122">
        <w:rPr>
          <w:rFonts w:eastAsia="Times New Roman"/>
          <w:color w:val="000000"/>
          <w:szCs w:val="24"/>
          <w:lang w:eastAsia="hr-HR" w:bidi="hr-HR"/>
        </w:rPr>
        <w:t xml:space="preserve"> </w:t>
      </w:r>
      <w:r w:rsidR="00831409">
        <w:rPr>
          <w:rFonts w:eastAsia="Times New Roman"/>
          <w:color w:val="000000"/>
          <w:szCs w:val="24"/>
          <w:lang w:eastAsia="hr-HR" w:bidi="hr-HR"/>
        </w:rPr>
        <w:t xml:space="preserve">and </w:t>
      </w:r>
      <w:r w:rsidRPr="00876122">
        <w:rPr>
          <w:rFonts w:eastAsia="Times New Roman"/>
          <w:color w:val="000000"/>
          <w:szCs w:val="24"/>
          <w:lang w:eastAsia="hr-HR" w:bidi="hr-HR"/>
        </w:rPr>
        <w:t xml:space="preserve">Regulation (EU) </w:t>
      </w:r>
      <w:r w:rsidRPr="00876122">
        <w:rPr>
          <w:rFonts w:eastAsia="Times New Roman"/>
          <w:color w:val="000000"/>
          <w:szCs w:val="24"/>
          <w:lang w:eastAsia="bg-BG" w:bidi="bg-BG"/>
        </w:rPr>
        <w:t xml:space="preserve">2018/1805 </w:t>
      </w:r>
      <w:r w:rsidRPr="00876122">
        <w:rPr>
          <w:rFonts w:eastAsia="Times New Roman"/>
          <w:color w:val="000000"/>
          <w:szCs w:val="24"/>
          <w:lang w:eastAsia="hr-HR" w:bidi="hr-HR"/>
        </w:rPr>
        <w:t>on the mutual recognition of freezing orders and confiscation orders</w:t>
      </w:r>
      <w:r w:rsidRPr="00876122">
        <w:rPr>
          <w:rStyle w:val="FootnoteReference"/>
        </w:rPr>
        <w:footnoteReference w:id="16"/>
      </w:r>
      <w:r w:rsidRPr="00876122">
        <w:rPr>
          <w:rFonts w:eastAsia="Times New Roman"/>
          <w:color w:val="000000"/>
          <w:szCs w:val="24"/>
          <w:lang w:eastAsia="hr-HR" w:bidi="hr-HR"/>
        </w:rPr>
        <w:t>. Moreover, there are still many obstacles</w:t>
      </w:r>
      <w:r w:rsidR="00DD5EF0">
        <w:rPr>
          <w:rFonts w:eastAsia="Times New Roman"/>
          <w:color w:val="000000"/>
          <w:szCs w:val="24"/>
          <w:lang w:eastAsia="hr-HR" w:bidi="hr-HR"/>
        </w:rPr>
        <w:t xml:space="preserve"> </w:t>
      </w:r>
      <w:r w:rsidR="00192852">
        <w:rPr>
          <w:rFonts w:eastAsia="Times New Roman"/>
          <w:color w:val="000000"/>
          <w:szCs w:val="24"/>
          <w:lang w:eastAsia="hr-HR" w:bidi="hr-HR"/>
        </w:rPr>
        <w:t>to</w:t>
      </w:r>
      <w:r w:rsidRPr="00876122">
        <w:rPr>
          <w:rFonts w:eastAsia="Times New Roman"/>
          <w:color w:val="000000"/>
          <w:szCs w:val="24"/>
          <w:lang w:eastAsia="hr-HR" w:bidi="hr-HR"/>
        </w:rPr>
        <w:t xml:space="preserve"> the smooth functioning of judicial cooperation procedures under existing Union instruments. The </w:t>
      </w:r>
      <w:r w:rsidR="0003195F">
        <w:rPr>
          <w:rFonts w:eastAsia="Times New Roman"/>
          <w:color w:val="000000"/>
          <w:szCs w:val="24"/>
          <w:lang w:eastAsia="hr-HR" w:bidi="hr-HR"/>
        </w:rPr>
        <w:t>evo</w:t>
      </w:r>
      <w:r w:rsidR="00852ED7">
        <w:rPr>
          <w:rFonts w:eastAsia="Times New Roman"/>
          <w:color w:val="000000"/>
          <w:szCs w:val="24"/>
          <w:lang w:eastAsia="hr-HR" w:bidi="hr-HR"/>
        </w:rPr>
        <w:t>lv</w:t>
      </w:r>
      <w:r w:rsidR="0003195F" w:rsidRPr="00876122">
        <w:rPr>
          <w:rFonts w:eastAsia="Times New Roman"/>
          <w:color w:val="000000"/>
          <w:szCs w:val="24"/>
          <w:lang w:eastAsia="hr-HR" w:bidi="hr-HR"/>
        </w:rPr>
        <w:t>ing</w:t>
      </w:r>
      <w:r w:rsidRPr="00876122">
        <w:rPr>
          <w:rFonts w:eastAsia="Times New Roman"/>
          <w:color w:val="000000"/>
          <w:szCs w:val="24"/>
          <w:lang w:eastAsia="hr-HR" w:bidi="hr-HR"/>
        </w:rPr>
        <w:t xml:space="preserve"> jurisprudence of the Court of Justice of the European Union (CJEU) </w:t>
      </w:r>
      <w:r w:rsidR="00852ED7">
        <w:rPr>
          <w:rFonts w:eastAsia="Times New Roman"/>
          <w:color w:val="000000"/>
          <w:szCs w:val="24"/>
          <w:lang w:eastAsia="hr-HR" w:bidi="hr-HR"/>
        </w:rPr>
        <w:t xml:space="preserve">also </w:t>
      </w:r>
      <w:r w:rsidR="00D02596">
        <w:rPr>
          <w:rFonts w:eastAsia="Times New Roman"/>
          <w:color w:val="000000"/>
          <w:szCs w:val="24"/>
          <w:lang w:eastAsia="hr-HR" w:bidi="hr-HR"/>
        </w:rPr>
        <w:t xml:space="preserve">has a </w:t>
      </w:r>
      <w:r w:rsidR="00B71C54">
        <w:rPr>
          <w:rFonts w:eastAsia="Times New Roman"/>
          <w:color w:val="000000"/>
          <w:szCs w:val="24"/>
          <w:lang w:eastAsia="hr-HR" w:bidi="hr-HR"/>
        </w:rPr>
        <w:t>s</w:t>
      </w:r>
      <w:r w:rsidR="00FF4454">
        <w:rPr>
          <w:rFonts w:eastAsia="Times New Roman"/>
          <w:color w:val="000000"/>
          <w:szCs w:val="24"/>
          <w:lang w:eastAsia="hr-HR" w:bidi="hr-HR"/>
        </w:rPr>
        <w:t>ubstantial</w:t>
      </w:r>
      <w:r w:rsidR="00B71C54">
        <w:rPr>
          <w:rFonts w:eastAsia="Times New Roman"/>
          <w:color w:val="000000"/>
          <w:szCs w:val="24"/>
          <w:lang w:eastAsia="hr-HR" w:bidi="hr-HR"/>
        </w:rPr>
        <w:t xml:space="preserve"> </w:t>
      </w:r>
      <w:r w:rsidRPr="00876122">
        <w:rPr>
          <w:rFonts w:eastAsia="Times New Roman"/>
          <w:color w:val="000000"/>
          <w:szCs w:val="24"/>
          <w:lang w:eastAsia="hr-HR" w:bidi="hr-HR"/>
        </w:rPr>
        <w:t xml:space="preserve">impact </w:t>
      </w:r>
      <w:r w:rsidR="00BF4C10">
        <w:rPr>
          <w:rFonts w:eastAsia="Times New Roman"/>
          <w:color w:val="000000"/>
          <w:szCs w:val="24"/>
          <w:lang w:eastAsia="hr-HR" w:bidi="hr-HR"/>
        </w:rPr>
        <w:t>on</w:t>
      </w:r>
      <w:r w:rsidRPr="00876122">
        <w:rPr>
          <w:rFonts w:eastAsia="Times New Roman"/>
          <w:color w:val="000000"/>
          <w:szCs w:val="24"/>
          <w:lang w:eastAsia="hr-HR" w:bidi="hr-HR"/>
        </w:rPr>
        <w:t xml:space="preserve"> the functioning of judicial cooperation instruments.</w:t>
      </w:r>
    </w:p>
    <w:p w14:paraId="1F3CBEE8" w14:textId="482605A2"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Furthermore, in the digital age and </w:t>
      </w:r>
      <w:r w:rsidR="00116697">
        <w:rPr>
          <w:rFonts w:eastAsia="Times New Roman"/>
          <w:color w:val="000000"/>
          <w:szCs w:val="24"/>
          <w:lang w:eastAsia="hr-HR" w:bidi="hr-HR"/>
        </w:rPr>
        <w:t>in view</w:t>
      </w:r>
      <w:r w:rsidRPr="00876122">
        <w:rPr>
          <w:rFonts w:eastAsia="Times New Roman"/>
          <w:color w:val="000000"/>
          <w:szCs w:val="24"/>
          <w:lang w:eastAsia="hr-HR" w:bidi="hr-HR"/>
        </w:rPr>
        <w:t xml:space="preserve"> of the challenges </w:t>
      </w:r>
      <w:r w:rsidR="0047550A">
        <w:rPr>
          <w:rFonts w:eastAsia="Times New Roman"/>
          <w:color w:val="000000"/>
          <w:szCs w:val="24"/>
          <w:lang w:eastAsia="hr-HR" w:bidi="hr-HR"/>
        </w:rPr>
        <w:t xml:space="preserve">that </w:t>
      </w:r>
      <w:r w:rsidR="009C5920">
        <w:rPr>
          <w:rFonts w:eastAsia="Times New Roman"/>
          <w:color w:val="000000"/>
          <w:szCs w:val="24"/>
          <w:lang w:eastAsia="hr-HR" w:bidi="hr-HR"/>
        </w:rPr>
        <w:t>came to the fore</w:t>
      </w:r>
      <w:r w:rsidR="0047550A">
        <w:rPr>
          <w:rFonts w:eastAsia="Times New Roman"/>
          <w:color w:val="000000"/>
          <w:szCs w:val="24"/>
          <w:lang w:eastAsia="hr-HR" w:bidi="hr-HR"/>
        </w:rPr>
        <w:t xml:space="preserve"> during</w:t>
      </w:r>
      <w:r w:rsidRPr="00876122">
        <w:rPr>
          <w:rFonts w:eastAsia="Times New Roman"/>
          <w:color w:val="000000"/>
          <w:szCs w:val="24"/>
          <w:lang w:eastAsia="hr-HR" w:bidi="hr-HR"/>
        </w:rPr>
        <w:t xml:space="preserve"> the COVID-19 pandemic, judicial cooperation needs to make full use of electronic tools and channels to ensure th</w:t>
      </w:r>
      <w:r w:rsidR="005B0829">
        <w:rPr>
          <w:rFonts w:eastAsia="Times New Roman"/>
          <w:color w:val="000000"/>
          <w:szCs w:val="24"/>
          <w:lang w:eastAsia="hr-HR" w:bidi="hr-HR"/>
        </w:rPr>
        <w:t>at</w:t>
      </w:r>
      <w:r w:rsidRPr="00876122">
        <w:rPr>
          <w:rFonts w:eastAsia="Times New Roman"/>
          <w:color w:val="000000"/>
          <w:szCs w:val="24"/>
          <w:lang w:eastAsia="hr-HR" w:bidi="hr-HR"/>
        </w:rPr>
        <w:t xml:space="preserve"> communication between the competent authorities and relevant actors</w:t>
      </w:r>
      <w:r w:rsidR="0024375F">
        <w:rPr>
          <w:rFonts w:eastAsia="Times New Roman"/>
          <w:color w:val="000000"/>
          <w:szCs w:val="24"/>
          <w:lang w:eastAsia="hr-HR" w:bidi="hr-HR"/>
        </w:rPr>
        <w:t xml:space="preserve"> is effective and secure</w:t>
      </w:r>
      <w:r w:rsidRPr="00876122">
        <w:rPr>
          <w:rFonts w:eastAsia="Times New Roman"/>
          <w:color w:val="000000"/>
          <w:szCs w:val="24"/>
          <w:lang w:eastAsia="hr-HR" w:bidi="hr-HR"/>
        </w:rPr>
        <w:t xml:space="preserve">. As </w:t>
      </w:r>
      <w:r w:rsidR="00EB6262">
        <w:rPr>
          <w:rFonts w:eastAsia="Times New Roman"/>
          <w:color w:val="000000"/>
          <w:szCs w:val="24"/>
          <w:lang w:eastAsia="hr-HR" w:bidi="hr-HR"/>
        </w:rPr>
        <w:t>crimes are</w:t>
      </w:r>
      <w:r w:rsidR="00EB6262" w:rsidRPr="00876122">
        <w:rPr>
          <w:rFonts w:eastAsia="Times New Roman"/>
          <w:color w:val="000000"/>
          <w:szCs w:val="24"/>
          <w:lang w:eastAsia="hr-HR" w:bidi="hr-HR"/>
        </w:rPr>
        <w:t xml:space="preserve"> </w:t>
      </w:r>
      <w:r w:rsidR="00FA62DE">
        <w:rPr>
          <w:rFonts w:eastAsia="Times New Roman"/>
          <w:color w:val="000000"/>
          <w:szCs w:val="24"/>
          <w:lang w:eastAsia="hr-HR" w:bidi="hr-HR"/>
        </w:rPr>
        <w:t>also</w:t>
      </w:r>
      <w:r w:rsidRPr="00876122">
        <w:rPr>
          <w:rFonts w:eastAsia="Times New Roman"/>
          <w:color w:val="000000"/>
          <w:szCs w:val="24"/>
          <w:lang w:eastAsia="hr-HR" w:bidi="hr-HR"/>
        </w:rPr>
        <w:t xml:space="preserve"> increasingly </w:t>
      </w:r>
      <w:r w:rsidR="0024375F">
        <w:rPr>
          <w:rFonts w:eastAsia="Times New Roman"/>
          <w:color w:val="000000"/>
          <w:szCs w:val="24"/>
          <w:lang w:eastAsia="hr-HR" w:bidi="hr-HR"/>
        </w:rPr>
        <w:t xml:space="preserve">committed by </w:t>
      </w:r>
      <w:r w:rsidRPr="00876122">
        <w:rPr>
          <w:rFonts w:eastAsia="Times New Roman"/>
          <w:color w:val="000000"/>
          <w:szCs w:val="24"/>
          <w:lang w:eastAsia="hr-HR" w:bidi="hr-HR"/>
        </w:rPr>
        <w:t>rely</w:t>
      </w:r>
      <w:r w:rsidR="0024375F">
        <w:rPr>
          <w:rFonts w:eastAsia="Times New Roman"/>
          <w:color w:val="000000"/>
          <w:szCs w:val="24"/>
          <w:lang w:eastAsia="hr-HR" w:bidi="hr-HR"/>
        </w:rPr>
        <w:t>ing</w:t>
      </w:r>
      <w:r w:rsidRPr="00876122">
        <w:rPr>
          <w:rFonts w:eastAsia="Times New Roman"/>
          <w:color w:val="000000"/>
          <w:szCs w:val="24"/>
          <w:lang w:eastAsia="hr-HR" w:bidi="hr-HR"/>
        </w:rPr>
        <w:t xml:space="preserve"> on electronic means of communication, </w:t>
      </w:r>
      <w:r w:rsidR="009152B6">
        <w:rPr>
          <w:rFonts w:eastAsia="Times New Roman"/>
          <w:color w:val="000000"/>
          <w:szCs w:val="24"/>
          <w:lang w:eastAsia="hr-HR" w:bidi="hr-HR"/>
        </w:rPr>
        <w:t xml:space="preserve">it is necessary to ensure </w:t>
      </w:r>
      <w:r w:rsidR="007156E9">
        <w:rPr>
          <w:rFonts w:eastAsia="Times New Roman"/>
          <w:color w:val="000000"/>
          <w:szCs w:val="24"/>
          <w:lang w:eastAsia="hr-HR" w:bidi="hr-HR"/>
        </w:rPr>
        <w:t xml:space="preserve">better </w:t>
      </w:r>
      <w:r w:rsidRPr="00876122">
        <w:rPr>
          <w:rFonts w:eastAsia="Times New Roman"/>
          <w:color w:val="000000"/>
          <w:szCs w:val="24"/>
          <w:lang w:eastAsia="hr-HR" w:bidi="hr-HR"/>
        </w:rPr>
        <w:t xml:space="preserve">access to electronic evidence in criminal investigations. </w:t>
      </w:r>
      <w:r w:rsidR="003C5B5D">
        <w:rPr>
          <w:rFonts w:eastAsia="Times New Roman"/>
          <w:color w:val="000000"/>
          <w:szCs w:val="24"/>
          <w:lang w:eastAsia="hr-HR" w:bidi="hr-HR"/>
        </w:rPr>
        <w:t>I</w:t>
      </w:r>
      <w:r w:rsidR="000017CE" w:rsidRPr="00876122">
        <w:rPr>
          <w:rFonts w:eastAsia="Times New Roman"/>
          <w:color w:val="000000"/>
          <w:szCs w:val="24"/>
          <w:lang w:eastAsia="hr-HR" w:bidi="hr-HR"/>
        </w:rPr>
        <w:t>n 2026</w:t>
      </w:r>
      <w:r w:rsidR="003C5B5D">
        <w:rPr>
          <w:rFonts w:eastAsia="Times New Roman"/>
          <w:color w:val="000000"/>
          <w:szCs w:val="24"/>
          <w:lang w:eastAsia="hr-HR" w:bidi="hr-HR"/>
        </w:rPr>
        <w:t xml:space="preserve"> n</w:t>
      </w:r>
      <w:r w:rsidRPr="00876122">
        <w:rPr>
          <w:rFonts w:eastAsia="Times New Roman"/>
          <w:color w:val="000000"/>
          <w:szCs w:val="24"/>
          <w:lang w:eastAsia="hr-HR" w:bidi="hr-HR"/>
        </w:rPr>
        <w:t>ew rules on cross-border access to electronic evidence</w:t>
      </w:r>
      <w:r w:rsidR="00BC4266" w:rsidRPr="00876122">
        <w:rPr>
          <w:rStyle w:val="FootnoteReference"/>
        </w:rPr>
        <w:footnoteReference w:id="17"/>
      </w:r>
      <w:r w:rsidRPr="00876122">
        <w:rPr>
          <w:rFonts w:eastAsia="Times New Roman"/>
          <w:color w:val="000000"/>
          <w:szCs w:val="24"/>
          <w:lang w:eastAsia="hr-HR" w:bidi="hr-HR"/>
        </w:rPr>
        <w:t xml:space="preserve"> will enter into </w:t>
      </w:r>
      <w:r w:rsidR="00B448D3">
        <w:rPr>
          <w:rFonts w:eastAsia="Times New Roman"/>
          <w:color w:val="000000"/>
          <w:szCs w:val="24"/>
          <w:lang w:eastAsia="hr-HR" w:bidi="hr-HR"/>
        </w:rPr>
        <w:t>force</w:t>
      </w:r>
      <w:r w:rsidR="00023C8E">
        <w:rPr>
          <w:rFonts w:eastAsia="Times New Roman"/>
          <w:color w:val="000000"/>
          <w:szCs w:val="24"/>
          <w:lang w:eastAsia="hr-HR" w:bidi="hr-HR"/>
        </w:rPr>
        <w:t>.</w:t>
      </w:r>
      <w:r w:rsidRPr="00876122">
        <w:rPr>
          <w:rFonts w:eastAsia="Times New Roman"/>
          <w:color w:val="000000"/>
          <w:szCs w:val="24"/>
          <w:lang w:eastAsia="hr-HR" w:bidi="hr-HR"/>
        </w:rPr>
        <w:t xml:space="preserve"> </w:t>
      </w:r>
      <w:r w:rsidR="00572FAD">
        <w:rPr>
          <w:rFonts w:eastAsia="Times New Roman"/>
          <w:color w:val="000000"/>
          <w:szCs w:val="24"/>
          <w:lang w:eastAsia="hr-HR" w:bidi="hr-HR"/>
        </w:rPr>
        <w:t xml:space="preserve">A </w:t>
      </w:r>
      <w:r w:rsidR="00572FAD" w:rsidRPr="00876122">
        <w:rPr>
          <w:rFonts w:eastAsia="Times New Roman"/>
          <w:color w:val="000000"/>
          <w:szCs w:val="24"/>
          <w:lang w:eastAsia="hr-HR" w:bidi="hr-HR"/>
        </w:rPr>
        <w:t xml:space="preserve">dedicated decentralised IT system </w:t>
      </w:r>
      <w:r w:rsidR="00691349">
        <w:rPr>
          <w:rFonts w:eastAsia="Times New Roman"/>
          <w:color w:val="000000"/>
          <w:szCs w:val="24"/>
          <w:lang w:eastAsia="hr-HR" w:bidi="hr-HR"/>
        </w:rPr>
        <w:t xml:space="preserve">should be </w:t>
      </w:r>
      <w:r w:rsidR="00572FAD">
        <w:rPr>
          <w:rFonts w:eastAsia="Times New Roman"/>
          <w:color w:val="000000"/>
          <w:szCs w:val="24"/>
          <w:lang w:eastAsia="hr-HR" w:bidi="hr-HR"/>
        </w:rPr>
        <w:t>set up</w:t>
      </w:r>
      <w:r w:rsidR="00572FAD" w:rsidRPr="00876122" w:rsidDel="00023C8E">
        <w:rPr>
          <w:rFonts w:eastAsia="Times New Roman"/>
          <w:color w:val="000000"/>
          <w:szCs w:val="24"/>
          <w:lang w:eastAsia="hr-HR" w:bidi="hr-HR"/>
        </w:rPr>
        <w:t xml:space="preserve"> </w:t>
      </w:r>
      <w:r w:rsidR="00691349">
        <w:rPr>
          <w:rFonts w:eastAsia="Times New Roman"/>
          <w:color w:val="000000"/>
          <w:szCs w:val="24"/>
          <w:lang w:eastAsia="hr-HR" w:bidi="hr-HR"/>
        </w:rPr>
        <w:t>t</w:t>
      </w:r>
      <w:r w:rsidR="00512FB8">
        <w:rPr>
          <w:rFonts w:eastAsia="Times New Roman"/>
          <w:color w:val="000000"/>
          <w:szCs w:val="24"/>
          <w:lang w:eastAsia="hr-HR" w:bidi="hr-HR"/>
        </w:rPr>
        <w:t xml:space="preserve">o </w:t>
      </w:r>
      <w:r w:rsidR="007E3248">
        <w:rPr>
          <w:rFonts w:eastAsia="Times New Roman"/>
          <w:color w:val="000000"/>
          <w:szCs w:val="24"/>
          <w:lang w:eastAsia="hr-HR" w:bidi="hr-HR"/>
        </w:rPr>
        <w:t>ensure that</w:t>
      </w:r>
      <w:r w:rsidRPr="00876122">
        <w:rPr>
          <w:rFonts w:eastAsia="Times New Roman"/>
          <w:color w:val="000000"/>
          <w:szCs w:val="24"/>
          <w:lang w:eastAsia="hr-HR" w:bidi="hr-HR"/>
        </w:rPr>
        <w:t xml:space="preserve"> judicial practitioners and service providers are ready to apply the</w:t>
      </w:r>
      <w:r w:rsidR="00192344">
        <w:rPr>
          <w:rFonts w:eastAsia="Times New Roman"/>
          <w:color w:val="000000"/>
          <w:szCs w:val="24"/>
          <w:lang w:eastAsia="hr-HR" w:bidi="hr-HR"/>
        </w:rPr>
        <w:t>m</w:t>
      </w:r>
      <w:r w:rsidRPr="00876122">
        <w:rPr>
          <w:rFonts w:eastAsia="Times New Roman"/>
          <w:color w:val="000000"/>
          <w:szCs w:val="24"/>
          <w:lang w:eastAsia="hr-HR" w:bidi="hr-HR"/>
        </w:rPr>
        <w:t>.</w:t>
      </w:r>
    </w:p>
    <w:p w14:paraId="78749582" w14:textId="5D1163B4"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lastRenderedPageBreak/>
        <w:t xml:space="preserve">Moreover, </w:t>
      </w:r>
      <w:r w:rsidR="00272826">
        <w:rPr>
          <w:rFonts w:eastAsia="Times New Roman"/>
          <w:color w:val="000000"/>
          <w:szCs w:val="24"/>
          <w:lang w:eastAsia="hr-HR" w:bidi="hr-HR"/>
        </w:rPr>
        <w:t>following</w:t>
      </w:r>
      <w:r w:rsidRPr="00876122">
        <w:rPr>
          <w:rFonts w:eastAsia="Times New Roman"/>
          <w:color w:val="000000"/>
          <w:szCs w:val="24"/>
          <w:lang w:eastAsia="hr-HR" w:bidi="hr-HR"/>
        </w:rPr>
        <w:t xml:space="preserve"> the adoption of the Commission Recommendation on detention</w:t>
      </w:r>
      <w:r w:rsidR="00E54F4D">
        <w:rPr>
          <w:rStyle w:val="FootnoteReference"/>
          <w:rFonts w:eastAsia="Times New Roman"/>
          <w:color w:val="000000"/>
          <w:szCs w:val="24"/>
          <w:lang w:eastAsia="hr-HR" w:bidi="hr-HR"/>
        </w:rPr>
        <w:footnoteReference w:id="18"/>
      </w:r>
      <w:r w:rsidRPr="00876122">
        <w:rPr>
          <w:rFonts w:eastAsia="Times New Roman"/>
          <w:color w:val="000000"/>
          <w:szCs w:val="24"/>
          <w:lang w:eastAsia="bg-BG" w:bidi="bg-BG"/>
        </w:rPr>
        <w:t xml:space="preserve">, </w:t>
      </w:r>
      <w:r w:rsidR="0082499D">
        <w:rPr>
          <w:rFonts w:eastAsia="Times New Roman"/>
          <w:color w:val="000000"/>
          <w:szCs w:val="24"/>
          <w:lang w:eastAsia="bg-BG" w:bidi="bg-BG"/>
        </w:rPr>
        <w:t xml:space="preserve">there is a need for </w:t>
      </w:r>
      <w:r w:rsidR="00AF3062" w:rsidRPr="00876122">
        <w:rPr>
          <w:rFonts w:eastAsia="Times New Roman"/>
          <w:color w:val="000000"/>
          <w:szCs w:val="24"/>
          <w:lang w:eastAsia="hr-HR" w:bidi="hr-HR"/>
        </w:rPr>
        <w:t xml:space="preserve">follow-up work on </w:t>
      </w:r>
      <w:r w:rsidR="006B1328">
        <w:rPr>
          <w:rFonts w:eastAsia="Times New Roman"/>
          <w:color w:val="000000"/>
          <w:szCs w:val="24"/>
          <w:lang w:eastAsia="hr-HR" w:bidi="hr-HR"/>
        </w:rPr>
        <w:t xml:space="preserve">various </w:t>
      </w:r>
      <w:r w:rsidR="00AF3062" w:rsidRPr="00876122">
        <w:rPr>
          <w:rFonts w:eastAsia="Times New Roman"/>
          <w:color w:val="000000"/>
          <w:szCs w:val="24"/>
          <w:lang w:eastAsia="hr-HR" w:bidi="hr-HR"/>
        </w:rPr>
        <w:t>detention</w:t>
      </w:r>
      <w:r w:rsidR="006B1328">
        <w:rPr>
          <w:rFonts w:eastAsia="Times New Roman"/>
          <w:color w:val="000000"/>
          <w:szCs w:val="24"/>
          <w:lang w:eastAsia="hr-HR" w:bidi="hr-HR"/>
        </w:rPr>
        <w:t>-related</w:t>
      </w:r>
      <w:r w:rsidR="00AF3062" w:rsidRPr="00876122">
        <w:rPr>
          <w:rFonts w:eastAsia="Times New Roman"/>
          <w:color w:val="000000"/>
          <w:szCs w:val="24"/>
          <w:lang w:eastAsia="hr-HR" w:bidi="hr-HR"/>
        </w:rPr>
        <w:t xml:space="preserve"> issues </w:t>
      </w:r>
      <w:r w:rsidR="00EB6262">
        <w:rPr>
          <w:rFonts w:eastAsia="Times New Roman"/>
          <w:color w:val="000000"/>
          <w:szCs w:val="24"/>
          <w:lang w:eastAsia="hr-HR" w:bidi="hr-HR"/>
        </w:rPr>
        <w:t xml:space="preserve">to address the challenges of detention systems </w:t>
      </w:r>
      <w:r w:rsidR="00867A11">
        <w:rPr>
          <w:rFonts w:eastAsia="Times New Roman"/>
          <w:color w:val="000000"/>
          <w:szCs w:val="24"/>
          <w:lang w:eastAsia="hr-HR" w:bidi="hr-HR"/>
        </w:rPr>
        <w:t>such as</w:t>
      </w:r>
      <w:r w:rsidR="00AF3062" w:rsidRPr="00876122">
        <w:rPr>
          <w:rFonts w:eastAsia="Times New Roman"/>
          <w:color w:val="000000"/>
          <w:szCs w:val="24"/>
          <w:lang w:eastAsia="hr-HR" w:bidi="hr-HR"/>
        </w:rPr>
        <w:t xml:space="preserve"> </w:t>
      </w:r>
      <w:r w:rsidRPr="00876122">
        <w:rPr>
          <w:rFonts w:eastAsia="Times New Roman"/>
          <w:color w:val="000000"/>
          <w:szCs w:val="24"/>
          <w:lang w:eastAsia="hr-HR" w:bidi="hr-HR"/>
        </w:rPr>
        <w:t>radicalisation in prisons and alternatives to detention.</w:t>
      </w:r>
    </w:p>
    <w:p w14:paraId="2B988427" w14:textId="52A99F6A"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Support will also continue </w:t>
      </w:r>
      <w:r w:rsidR="00742E19">
        <w:rPr>
          <w:rFonts w:eastAsia="Times New Roman"/>
          <w:color w:val="000000"/>
          <w:szCs w:val="24"/>
          <w:lang w:eastAsia="hr-HR" w:bidi="hr-HR"/>
        </w:rPr>
        <w:t xml:space="preserve">to </w:t>
      </w:r>
      <w:r w:rsidRPr="00876122">
        <w:rPr>
          <w:rFonts w:eastAsia="Times New Roman"/>
          <w:color w:val="000000"/>
          <w:szCs w:val="24"/>
          <w:lang w:eastAsia="hr-HR" w:bidi="hr-HR"/>
        </w:rPr>
        <w:t xml:space="preserve">be provided to Member States for setting up and strengthening national networks </w:t>
      </w:r>
      <w:proofErr w:type="gramStart"/>
      <w:r w:rsidRPr="00876122">
        <w:rPr>
          <w:rFonts w:eastAsia="Times New Roman"/>
          <w:color w:val="000000"/>
          <w:szCs w:val="24"/>
          <w:lang w:eastAsia="hr-HR" w:bidi="hr-HR"/>
        </w:rPr>
        <w:t>in the area of</w:t>
      </w:r>
      <w:proofErr w:type="gramEnd"/>
      <w:r w:rsidRPr="00876122">
        <w:rPr>
          <w:rFonts w:eastAsia="Times New Roman"/>
          <w:color w:val="000000"/>
          <w:szCs w:val="24"/>
          <w:lang w:eastAsia="hr-HR" w:bidi="hr-HR"/>
        </w:rPr>
        <w:t xml:space="preserve"> judicial cooperation in criminal matters.</w:t>
      </w:r>
    </w:p>
    <w:p w14:paraId="071B708A" w14:textId="75B2E4CD" w:rsidR="00F47FDE" w:rsidRPr="00876122" w:rsidRDefault="007426B1" w:rsidP="00F47FDE">
      <w:pPr>
        <w:widowControl w:val="0"/>
        <w:shd w:val="clear" w:color="auto" w:fill="FFFFFF"/>
        <w:spacing w:before="0" w:after="100"/>
        <w:rPr>
          <w:rFonts w:eastAsia="Times New Roman"/>
          <w:color w:val="000000"/>
          <w:szCs w:val="24"/>
          <w:lang w:eastAsia="hr-HR" w:bidi="hr-HR"/>
        </w:rPr>
      </w:pPr>
      <w:r>
        <w:rPr>
          <w:rFonts w:eastAsia="Times New Roman"/>
          <w:color w:val="000000"/>
          <w:szCs w:val="24"/>
          <w:lang w:eastAsia="hr-HR" w:bidi="hr-HR"/>
        </w:rPr>
        <w:t xml:space="preserve">In the area of </w:t>
      </w:r>
      <w:r w:rsidR="00F47FDE" w:rsidRPr="00876122">
        <w:rPr>
          <w:rFonts w:eastAsia="Times New Roman"/>
          <w:color w:val="000000"/>
          <w:szCs w:val="24"/>
          <w:lang w:eastAsia="hr-HR" w:bidi="hr-HR"/>
        </w:rPr>
        <w:t xml:space="preserve">substantive criminal law, in view of the recent adoption of </w:t>
      </w:r>
      <w:bookmarkStart w:id="8" w:name="_Hlk205451185"/>
      <w:r w:rsidR="00F47FDE" w:rsidRPr="00876122">
        <w:rPr>
          <w:rFonts w:eastAsia="Times New Roman"/>
          <w:color w:val="000000"/>
          <w:szCs w:val="24"/>
          <w:lang w:eastAsia="hr-HR" w:bidi="hr-HR"/>
        </w:rPr>
        <w:t>Directive (EU) 2024/1226 on the definition of criminal offences and penalties for the violation of Union restrictive measures</w:t>
      </w:r>
      <w:bookmarkEnd w:id="8"/>
      <w:r w:rsidR="00E54F4D">
        <w:rPr>
          <w:rStyle w:val="FootnoteReference"/>
          <w:rFonts w:eastAsia="Times New Roman"/>
          <w:color w:val="000000"/>
          <w:szCs w:val="24"/>
          <w:lang w:eastAsia="hr-HR" w:bidi="hr-HR"/>
        </w:rPr>
        <w:footnoteReference w:id="19"/>
      </w:r>
      <w:r w:rsidR="00F47FDE" w:rsidRPr="00876122">
        <w:rPr>
          <w:rFonts w:eastAsia="Times New Roman"/>
          <w:color w:val="000000"/>
          <w:szCs w:val="24"/>
          <w:lang w:eastAsia="hr-HR" w:bidi="hr-HR"/>
        </w:rPr>
        <w:t>, there is a need to ensure</w:t>
      </w:r>
      <w:r w:rsidR="00EB6262">
        <w:rPr>
          <w:rFonts w:eastAsia="Times New Roman"/>
          <w:color w:val="000000"/>
          <w:szCs w:val="24"/>
          <w:lang w:eastAsia="hr-HR" w:bidi="hr-HR"/>
        </w:rPr>
        <w:t xml:space="preserve"> </w:t>
      </w:r>
      <w:r w:rsidR="006776C7">
        <w:rPr>
          <w:rFonts w:eastAsia="Times New Roman"/>
          <w:color w:val="000000"/>
          <w:szCs w:val="24"/>
          <w:lang w:eastAsia="hr-HR" w:bidi="hr-HR"/>
        </w:rPr>
        <w:t xml:space="preserve">that </w:t>
      </w:r>
      <w:r w:rsidR="006776C7" w:rsidRPr="00876122">
        <w:rPr>
          <w:rFonts w:eastAsia="Times New Roman"/>
          <w:color w:val="000000"/>
          <w:szCs w:val="24"/>
          <w:lang w:eastAsia="hr-HR" w:bidi="hr-HR"/>
        </w:rPr>
        <w:t>the Member States</w:t>
      </w:r>
      <w:r w:rsidR="00F47FDE" w:rsidRPr="00876122">
        <w:rPr>
          <w:rFonts w:eastAsia="Times New Roman"/>
          <w:color w:val="000000"/>
          <w:szCs w:val="24"/>
          <w:lang w:eastAsia="hr-HR" w:bidi="hr-HR"/>
        </w:rPr>
        <w:t xml:space="preserve"> implement and appl</w:t>
      </w:r>
      <w:r w:rsidR="00AC2E0D">
        <w:rPr>
          <w:rFonts w:eastAsia="Times New Roman"/>
          <w:color w:val="000000"/>
          <w:szCs w:val="24"/>
          <w:lang w:eastAsia="hr-HR" w:bidi="hr-HR"/>
        </w:rPr>
        <w:t>y</w:t>
      </w:r>
      <w:r w:rsidR="00F47FDE" w:rsidRPr="00876122">
        <w:rPr>
          <w:rFonts w:eastAsia="Times New Roman"/>
          <w:color w:val="000000"/>
          <w:szCs w:val="24"/>
          <w:lang w:eastAsia="hr-HR" w:bidi="hr-HR"/>
        </w:rPr>
        <w:t xml:space="preserve"> these rules</w:t>
      </w:r>
      <w:r w:rsidR="006C4206" w:rsidRPr="006C4206">
        <w:rPr>
          <w:rFonts w:eastAsia="Times New Roman"/>
          <w:color w:val="000000"/>
          <w:szCs w:val="24"/>
          <w:lang w:eastAsia="hr-HR" w:bidi="hr-HR"/>
        </w:rPr>
        <w:t xml:space="preserve"> </w:t>
      </w:r>
      <w:r w:rsidR="006C4206" w:rsidRPr="00876122">
        <w:rPr>
          <w:rFonts w:eastAsia="Times New Roman"/>
          <w:color w:val="000000"/>
          <w:szCs w:val="24"/>
          <w:lang w:eastAsia="hr-HR" w:bidi="hr-HR"/>
        </w:rPr>
        <w:t>correct</w:t>
      </w:r>
      <w:r w:rsidR="006C4206">
        <w:rPr>
          <w:rFonts w:eastAsia="Times New Roman"/>
          <w:color w:val="000000"/>
          <w:szCs w:val="24"/>
          <w:lang w:eastAsia="hr-HR" w:bidi="hr-HR"/>
        </w:rPr>
        <w:t>ly</w:t>
      </w:r>
      <w:r w:rsidR="00AD0890">
        <w:rPr>
          <w:rFonts w:eastAsia="Times New Roman"/>
          <w:color w:val="000000"/>
          <w:szCs w:val="24"/>
          <w:lang w:eastAsia="hr-HR" w:bidi="hr-HR"/>
        </w:rPr>
        <w:t>,</w:t>
      </w:r>
      <w:r w:rsidR="00F47FDE" w:rsidRPr="00876122">
        <w:rPr>
          <w:rFonts w:eastAsia="Times New Roman"/>
          <w:color w:val="000000"/>
          <w:szCs w:val="24"/>
          <w:lang w:eastAsia="hr-HR" w:bidi="hr-HR"/>
        </w:rPr>
        <w:t xml:space="preserve"> and support </w:t>
      </w:r>
      <w:r w:rsidR="00255863">
        <w:rPr>
          <w:rFonts w:eastAsia="Times New Roman"/>
          <w:color w:val="000000"/>
          <w:szCs w:val="24"/>
          <w:lang w:eastAsia="hr-HR" w:bidi="hr-HR"/>
        </w:rPr>
        <w:t xml:space="preserve">must </w:t>
      </w:r>
      <w:r w:rsidR="00253588">
        <w:rPr>
          <w:rFonts w:eastAsia="Times New Roman"/>
          <w:color w:val="000000"/>
          <w:szCs w:val="24"/>
          <w:lang w:eastAsia="hr-HR" w:bidi="hr-HR"/>
        </w:rPr>
        <w:t>also</w:t>
      </w:r>
      <w:r w:rsidR="00255863">
        <w:rPr>
          <w:rFonts w:eastAsia="Times New Roman"/>
          <w:color w:val="000000"/>
          <w:szCs w:val="24"/>
          <w:lang w:eastAsia="hr-HR" w:bidi="hr-HR"/>
        </w:rPr>
        <w:t xml:space="preserve"> be provided to </w:t>
      </w:r>
      <w:r w:rsidR="00F47FDE" w:rsidRPr="00876122">
        <w:rPr>
          <w:rFonts w:eastAsia="Times New Roman"/>
          <w:color w:val="000000"/>
          <w:szCs w:val="24"/>
          <w:lang w:eastAsia="hr-HR" w:bidi="hr-HR"/>
        </w:rPr>
        <w:t xml:space="preserve">practitioners </w:t>
      </w:r>
      <w:r w:rsidR="00F47FDE" w:rsidRPr="00876122" w:rsidDel="00D353AA">
        <w:rPr>
          <w:rFonts w:eastAsia="Times New Roman"/>
          <w:color w:val="000000"/>
          <w:szCs w:val="24"/>
          <w:lang w:eastAsia="hr-HR" w:bidi="hr-HR"/>
        </w:rPr>
        <w:t>for t</w:t>
      </w:r>
      <w:r w:rsidR="00F47FDE" w:rsidRPr="00876122">
        <w:rPr>
          <w:rFonts w:eastAsia="Times New Roman"/>
          <w:color w:val="000000"/>
          <w:szCs w:val="24"/>
          <w:lang w:eastAsia="hr-HR" w:bidi="hr-HR"/>
        </w:rPr>
        <w:t>his</w:t>
      </w:r>
      <w:r w:rsidR="00F47FDE" w:rsidRPr="00876122" w:rsidDel="00D353AA">
        <w:rPr>
          <w:rFonts w:eastAsia="Times New Roman"/>
          <w:color w:val="000000"/>
          <w:szCs w:val="24"/>
          <w:lang w:eastAsia="hr-HR" w:bidi="hr-HR"/>
        </w:rPr>
        <w:t xml:space="preserve"> purpose</w:t>
      </w:r>
      <w:r w:rsidR="00F47FDE" w:rsidRPr="00876122">
        <w:rPr>
          <w:rFonts w:eastAsia="Times New Roman"/>
          <w:color w:val="000000"/>
          <w:szCs w:val="24"/>
          <w:lang w:eastAsia="hr-HR" w:bidi="hr-HR"/>
        </w:rPr>
        <w:t xml:space="preserve">. There is also </w:t>
      </w:r>
      <w:r w:rsidR="008457BA">
        <w:rPr>
          <w:rFonts w:eastAsia="Times New Roman"/>
          <w:color w:val="000000"/>
          <w:szCs w:val="24"/>
          <w:lang w:eastAsia="hr-HR" w:bidi="hr-HR"/>
        </w:rPr>
        <w:t>a</w:t>
      </w:r>
      <w:r w:rsidR="00F47FDE" w:rsidRPr="00876122">
        <w:rPr>
          <w:rFonts w:eastAsia="Times New Roman"/>
          <w:color w:val="000000"/>
          <w:szCs w:val="24"/>
          <w:lang w:eastAsia="hr-HR" w:bidi="hr-HR"/>
        </w:rPr>
        <w:t xml:space="preserve"> need to strengthen the implementation and application of Directive (EU) 2024/1203 on the protection of the environment through criminal law</w:t>
      </w:r>
      <w:r w:rsidR="00E54F4D">
        <w:rPr>
          <w:rStyle w:val="FootnoteReference"/>
          <w:rFonts w:eastAsia="Times New Roman"/>
          <w:color w:val="000000"/>
          <w:szCs w:val="24"/>
          <w:lang w:eastAsia="hr-HR" w:bidi="hr-HR"/>
        </w:rPr>
        <w:footnoteReference w:id="20"/>
      </w:r>
      <w:r w:rsidR="00F47FDE" w:rsidRPr="00876122">
        <w:rPr>
          <w:rFonts w:eastAsia="Times New Roman"/>
          <w:color w:val="000000"/>
          <w:szCs w:val="24"/>
          <w:lang w:eastAsia="hr-HR" w:bidi="hr-HR"/>
        </w:rPr>
        <w:t>.</w:t>
      </w:r>
    </w:p>
    <w:p w14:paraId="42B921F1" w14:textId="77777777" w:rsidR="00F47FDE" w:rsidRPr="00876122" w:rsidRDefault="00F47FDE" w:rsidP="00F47FDE">
      <w:pPr>
        <w:widowControl w:val="0"/>
        <w:shd w:val="clear" w:color="auto" w:fill="FFFFFF"/>
        <w:spacing w:before="0" w:after="100"/>
        <w:rPr>
          <w:rFonts w:eastAsia="Times New Roman"/>
          <w:b/>
          <w:bCs/>
          <w:color w:val="000000"/>
          <w:szCs w:val="24"/>
          <w:lang w:eastAsia="hr-HR" w:bidi="hr-HR"/>
        </w:rPr>
      </w:pPr>
      <w:r w:rsidRPr="00876122">
        <w:rPr>
          <w:rFonts w:eastAsia="Times New Roman"/>
          <w:b/>
          <w:bCs/>
          <w:i/>
          <w:iCs/>
          <w:color w:val="000000"/>
          <w:szCs w:val="24"/>
          <w:lang w:eastAsia="hr-HR" w:bidi="hr-HR"/>
        </w:rPr>
        <w:t>Judicial training</w:t>
      </w:r>
    </w:p>
    <w:p w14:paraId="53580326" w14:textId="3215B3F7" w:rsidR="00F47FDE" w:rsidRPr="00876122" w:rsidRDefault="00522552" w:rsidP="00F47FDE">
      <w:pPr>
        <w:widowControl w:val="0"/>
        <w:shd w:val="clear" w:color="auto" w:fill="FFFFFF"/>
        <w:spacing w:before="0" w:after="100"/>
        <w:rPr>
          <w:rFonts w:eastAsia="Times New Roman"/>
          <w:b/>
          <w:bCs/>
          <w:color w:val="000000"/>
          <w:szCs w:val="24"/>
          <w:lang w:eastAsia="hr-HR" w:bidi="hr-HR"/>
        </w:rPr>
      </w:pPr>
      <w:r>
        <w:rPr>
          <w:rFonts w:eastAsia="Times New Roman"/>
          <w:color w:val="000000"/>
          <w:szCs w:val="24"/>
          <w:lang w:eastAsia="hr-HR" w:bidi="hr-HR"/>
        </w:rPr>
        <w:t>P</w:t>
      </w:r>
      <w:r w:rsidR="00F47FDE" w:rsidRPr="00876122">
        <w:rPr>
          <w:rFonts w:eastAsia="Times New Roman"/>
          <w:color w:val="000000"/>
          <w:szCs w:val="24"/>
          <w:lang w:eastAsia="hr-HR" w:bidi="hr-HR"/>
        </w:rPr>
        <w:t>ractitioners</w:t>
      </w:r>
      <w:r>
        <w:rPr>
          <w:rFonts w:eastAsia="Times New Roman"/>
          <w:color w:val="000000"/>
          <w:szCs w:val="24"/>
          <w:lang w:eastAsia="hr-HR" w:bidi="hr-HR"/>
        </w:rPr>
        <w:t>’</w:t>
      </w:r>
      <w:r w:rsidR="00F47FDE" w:rsidRPr="00876122">
        <w:rPr>
          <w:rFonts w:eastAsia="Times New Roman"/>
          <w:color w:val="000000"/>
          <w:szCs w:val="24"/>
          <w:lang w:eastAsia="hr-HR" w:bidi="hr-HR"/>
        </w:rPr>
        <w:t xml:space="preserve"> </w:t>
      </w:r>
      <w:r w:rsidRPr="00876122">
        <w:rPr>
          <w:rFonts w:eastAsia="Times New Roman"/>
          <w:color w:val="000000"/>
          <w:szCs w:val="24"/>
          <w:lang w:eastAsia="hr-HR" w:bidi="hr-HR"/>
        </w:rPr>
        <w:t xml:space="preserve">knowledge </w:t>
      </w:r>
      <w:r>
        <w:rPr>
          <w:rFonts w:eastAsia="Times New Roman"/>
          <w:color w:val="000000"/>
          <w:szCs w:val="24"/>
          <w:lang w:eastAsia="hr-HR" w:bidi="hr-HR"/>
        </w:rPr>
        <w:t>of</w:t>
      </w:r>
      <w:r w:rsidR="00F47FDE" w:rsidRPr="00876122">
        <w:rPr>
          <w:rFonts w:eastAsia="Times New Roman"/>
          <w:color w:val="000000"/>
          <w:szCs w:val="24"/>
          <w:lang w:eastAsia="hr-HR" w:bidi="hr-HR"/>
        </w:rPr>
        <w:t xml:space="preserve"> </w:t>
      </w:r>
      <w:r w:rsidR="00290E35">
        <w:rPr>
          <w:rFonts w:eastAsia="Times New Roman"/>
          <w:color w:val="000000"/>
          <w:szCs w:val="24"/>
          <w:lang w:eastAsia="hr-HR" w:bidi="hr-HR"/>
        </w:rPr>
        <w:t xml:space="preserve">the </w:t>
      </w:r>
      <w:r w:rsidR="00F47FDE" w:rsidRPr="00876122">
        <w:rPr>
          <w:rFonts w:eastAsia="Times New Roman"/>
          <w:color w:val="000000"/>
          <w:szCs w:val="24"/>
          <w:lang w:eastAsia="hr-HR" w:bidi="hr-HR"/>
        </w:rPr>
        <w:t>relevant U</w:t>
      </w:r>
      <w:r w:rsidR="00DF6207">
        <w:rPr>
          <w:rFonts w:eastAsia="Times New Roman"/>
          <w:color w:val="000000"/>
          <w:szCs w:val="24"/>
          <w:lang w:eastAsia="hr-HR" w:bidi="hr-HR"/>
        </w:rPr>
        <w:t>nion</w:t>
      </w:r>
      <w:r w:rsidR="00F47FDE" w:rsidRPr="00876122">
        <w:rPr>
          <w:rFonts w:eastAsia="Times New Roman"/>
          <w:color w:val="000000"/>
          <w:szCs w:val="24"/>
          <w:lang w:eastAsia="hr-HR" w:bidi="hr-HR"/>
        </w:rPr>
        <w:t xml:space="preserve"> </w:t>
      </w:r>
      <w:r w:rsidR="00876122">
        <w:rPr>
          <w:rFonts w:eastAsia="Times New Roman"/>
          <w:i/>
          <w:color w:val="000000"/>
          <w:szCs w:val="24"/>
          <w:lang w:eastAsia="hr-HR" w:bidi="hr-HR"/>
        </w:rPr>
        <w:t>acquis</w:t>
      </w:r>
      <w:r w:rsidR="00F47FDE" w:rsidRPr="00876122">
        <w:rPr>
          <w:rFonts w:eastAsia="Times New Roman"/>
          <w:color w:val="000000"/>
          <w:szCs w:val="24"/>
          <w:lang w:eastAsia="hr-HR" w:bidi="hr-HR"/>
        </w:rPr>
        <w:t xml:space="preserve">, the Charter of Fundamental Rights of the European Union </w:t>
      </w:r>
      <w:r w:rsidR="006B5904">
        <w:rPr>
          <w:rFonts w:eastAsia="Times New Roman"/>
          <w:color w:val="000000"/>
          <w:szCs w:val="24"/>
          <w:lang w:eastAsia="hr-HR" w:bidi="hr-HR"/>
        </w:rPr>
        <w:t>(the ‘Charter’)</w:t>
      </w:r>
      <w:r w:rsidR="00626A20">
        <w:rPr>
          <w:rStyle w:val="FootnoteReference"/>
          <w:rFonts w:eastAsia="Times New Roman"/>
          <w:color w:val="000000"/>
          <w:szCs w:val="24"/>
          <w:lang w:eastAsia="hr-HR" w:bidi="hr-HR"/>
        </w:rPr>
        <w:footnoteReference w:id="21"/>
      </w:r>
      <w:r w:rsidR="006B5904">
        <w:rPr>
          <w:rFonts w:eastAsia="Times New Roman"/>
          <w:color w:val="000000"/>
          <w:szCs w:val="24"/>
          <w:lang w:eastAsia="hr-HR" w:bidi="hr-HR"/>
        </w:rPr>
        <w:t xml:space="preserve"> </w:t>
      </w:r>
      <w:r w:rsidR="00F47FDE" w:rsidRPr="00876122">
        <w:rPr>
          <w:rFonts w:eastAsia="Times New Roman"/>
          <w:color w:val="000000"/>
          <w:szCs w:val="24"/>
          <w:lang w:eastAsia="hr-HR" w:bidi="hr-HR"/>
        </w:rPr>
        <w:t>and other U</w:t>
      </w:r>
      <w:r w:rsidR="00DF6207">
        <w:rPr>
          <w:rFonts w:eastAsia="Times New Roman"/>
          <w:color w:val="000000"/>
          <w:szCs w:val="24"/>
          <w:lang w:eastAsia="hr-HR" w:bidi="hr-HR"/>
        </w:rPr>
        <w:t>nion</w:t>
      </w:r>
      <w:r w:rsidR="00F47FDE" w:rsidRPr="00876122">
        <w:rPr>
          <w:rFonts w:eastAsia="Times New Roman"/>
          <w:color w:val="000000"/>
          <w:szCs w:val="24"/>
          <w:lang w:eastAsia="hr-HR" w:bidi="hr-HR"/>
        </w:rPr>
        <w:t xml:space="preserve"> instruments, including the process of digitalisation of justice, needs to be improved across </w:t>
      </w:r>
      <w:r w:rsidR="006B5904" w:rsidRPr="00876122">
        <w:rPr>
          <w:rFonts w:eastAsia="Times New Roman"/>
          <w:color w:val="000000"/>
          <w:szCs w:val="24"/>
          <w:lang w:eastAsia="hr-HR" w:bidi="hr-HR"/>
        </w:rPr>
        <w:t>the Union</w:t>
      </w:r>
      <w:r w:rsidR="00F47FDE" w:rsidRPr="00876122">
        <w:rPr>
          <w:rFonts w:eastAsia="Times New Roman"/>
          <w:color w:val="000000"/>
          <w:szCs w:val="24"/>
          <w:lang w:eastAsia="hr-HR" w:bidi="hr-HR"/>
        </w:rPr>
        <w:t xml:space="preserve">. National training providers </w:t>
      </w:r>
      <w:r w:rsidR="00434373">
        <w:rPr>
          <w:rFonts w:eastAsia="Times New Roman"/>
          <w:color w:val="000000"/>
          <w:szCs w:val="24"/>
          <w:lang w:eastAsia="hr-HR" w:bidi="hr-HR"/>
        </w:rPr>
        <w:t xml:space="preserve">mainly </w:t>
      </w:r>
      <w:r w:rsidR="00F47FDE" w:rsidRPr="00876122">
        <w:rPr>
          <w:rFonts w:eastAsia="Times New Roman"/>
          <w:color w:val="000000"/>
          <w:szCs w:val="24"/>
          <w:lang w:eastAsia="hr-HR" w:bidi="hr-HR"/>
        </w:rPr>
        <w:t>invest their resources in training courses on national law</w:t>
      </w:r>
      <w:r w:rsidR="00363F62">
        <w:rPr>
          <w:rFonts w:eastAsia="Times New Roman"/>
          <w:color w:val="000000"/>
          <w:szCs w:val="24"/>
          <w:lang w:eastAsia="hr-HR" w:bidi="hr-HR"/>
        </w:rPr>
        <w:t>, meaning</w:t>
      </w:r>
      <w:r w:rsidR="00F47FDE" w:rsidRPr="00876122">
        <w:rPr>
          <w:rFonts w:eastAsia="Times New Roman"/>
          <w:color w:val="000000"/>
          <w:szCs w:val="24"/>
          <w:lang w:eastAsia="hr-HR" w:bidi="hr-HR"/>
        </w:rPr>
        <w:t xml:space="preserve"> there is not enough training on EU law, in particular cross-border </w:t>
      </w:r>
      <w:r w:rsidR="00385E70">
        <w:rPr>
          <w:rFonts w:eastAsia="Times New Roman"/>
          <w:color w:val="000000"/>
          <w:szCs w:val="24"/>
          <w:lang w:eastAsia="hr-HR" w:bidi="hr-HR"/>
        </w:rPr>
        <w:t xml:space="preserve">training </w:t>
      </w:r>
      <w:r w:rsidR="00F47FDE" w:rsidRPr="00876122">
        <w:rPr>
          <w:rFonts w:eastAsia="Times New Roman"/>
          <w:color w:val="000000"/>
          <w:szCs w:val="24"/>
          <w:lang w:eastAsia="hr-HR" w:bidi="hr-HR"/>
        </w:rPr>
        <w:t>involving participants from different Member States.</w:t>
      </w:r>
    </w:p>
    <w:p w14:paraId="727DB885" w14:textId="01532F24" w:rsidR="00F47FDE" w:rsidRPr="00876122" w:rsidDel="00261197" w:rsidRDefault="002157B5" w:rsidP="00F47FDE">
      <w:pPr>
        <w:widowControl w:val="0"/>
        <w:shd w:val="clear" w:color="auto" w:fill="FFFFFF"/>
        <w:spacing w:before="0" w:after="100"/>
        <w:rPr>
          <w:rFonts w:eastAsia="Times New Roman"/>
          <w:color w:val="000000"/>
          <w:szCs w:val="24"/>
          <w:lang w:eastAsia="hr-HR" w:bidi="hr-HR"/>
        </w:rPr>
      </w:pPr>
      <w:r>
        <w:rPr>
          <w:rFonts w:eastAsia="Times New Roman"/>
          <w:szCs w:val="24"/>
          <w:lang w:eastAsia="hr-HR" w:bidi="hr-HR"/>
        </w:rPr>
        <w:t>T</w:t>
      </w:r>
      <w:r w:rsidR="00F47FDE" w:rsidRPr="00876122">
        <w:rPr>
          <w:rFonts w:eastAsia="Times New Roman"/>
          <w:szCs w:val="24"/>
          <w:lang w:eastAsia="hr-HR" w:bidi="hr-HR"/>
        </w:rPr>
        <w:t xml:space="preserve">he mission letter and the political guidelines </w:t>
      </w:r>
      <w:r>
        <w:rPr>
          <w:rFonts w:eastAsia="Times New Roman"/>
          <w:szCs w:val="24"/>
          <w:lang w:eastAsia="hr-HR" w:bidi="hr-HR"/>
        </w:rPr>
        <w:t>of</w:t>
      </w:r>
      <w:r w:rsidR="00F47FDE" w:rsidRPr="00876122">
        <w:rPr>
          <w:rFonts w:eastAsia="Times New Roman"/>
          <w:szCs w:val="24"/>
          <w:lang w:eastAsia="hr-HR" w:bidi="hr-HR"/>
        </w:rPr>
        <w:t xml:space="preserve"> the new Commission </w:t>
      </w:r>
      <w:r w:rsidR="00D60067">
        <w:rPr>
          <w:rFonts w:eastAsia="Times New Roman"/>
          <w:szCs w:val="24"/>
          <w:lang w:eastAsia="hr-HR" w:bidi="hr-HR"/>
        </w:rPr>
        <w:t xml:space="preserve">both </w:t>
      </w:r>
      <w:r w:rsidR="00F47FDE" w:rsidRPr="00876122">
        <w:rPr>
          <w:rFonts w:eastAsia="Times New Roman"/>
          <w:szCs w:val="24"/>
          <w:lang w:eastAsia="hr-HR" w:bidi="hr-HR"/>
        </w:rPr>
        <w:t>emphasi</w:t>
      </w:r>
      <w:r w:rsidR="00876122">
        <w:rPr>
          <w:rFonts w:eastAsia="Times New Roman"/>
          <w:szCs w:val="24"/>
          <w:lang w:eastAsia="hr-HR" w:bidi="hr-HR"/>
        </w:rPr>
        <w:t>s</w:t>
      </w:r>
      <w:r w:rsidR="00F47FDE" w:rsidRPr="00876122">
        <w:rPr>
          <w:rFonts w:eastAsia="Times New Roman"/>
          <w:szCs w:val="24"/>
          <w:lang w:eastAsia="hr-HR" w:bidi="hr-HR"/>
        </w:rPr>
        <w:t xml:space="preserve">e the importance of </w:t>
      </w:r>
      <w:r w:rsidR="00CC14CC">
        <w:rPr>
          <w:rFonts w:eastAsia="Times New Roman"/>
          <w:szCs w:val="24"/>
          <w:lang w:eastAsia="hr-HR" w:bidi="hr-HR"/>
        </w:rPr>
        <w:t>improving the</w:t>
      </w:r>
      <w:r w:rsidR="00F47FDE" w:rsidRPr="00876122">
        <w:rPr>
          <w:rFonts w:eastAsia="Times New Roman"/>
          <w:szCs w:val="24"/>
          <w:lang w:eastAsia="hr-HR" w:bidi="hr-HR"/>
        </w:rPr>
        <w:t xml:space="preserve"> implementation of the existing </w:t>
      </w:r>
      <w:r w:rsidR="00876122">
        <w:rPr>
          <w:rFonts w:eastAsia="Times New Roman"/>
          <w:i/>
          <w:szCs w:val="24"/>
          <w:lang w:eastAsia="hr-HR" w:bidi="hr-HR"/>
        </w:rPr>
        <w:t>acquis</w:t>
      </w:r>
      <w:r w:rsidR="0076362B">
        <w:rPr>
          <w:rFonts w:eastAsia="Times New Roman"/>
          <w:i/>
          <w:szCs w:val="24"/>
          <w:lang w:eastAsia="hr-HR" w:bidi="hr-HR"/>
        </w:rPr>
        <w:t>.</w:t>
      </w:r>
      <w:r w:rsidR="00F47FDE" w:rsidRPr="00876122">
        <w:rPr>
          <w:rFonts w:eastAsia="Times New Roman"/>
          <w:szCs w:val="24"/>
          <w:lang w:eastAsia="hr-HR" w:bidi="hr-HR"/>
        </w:rPr>
        <w:t xml:space="preserve"> </w:t>
      </w:r>
      <w:r w:rsidR="005F253E">
        <w:rPr>
          <w:rFonts w:eastAsia="Times New Roman"/>
          <w:szCs w:val="24"/>
          <w:lang w:eastAsia="hr-HR" w:bidi="hr-HR"/>
        </w:rPr>
        <w:t>Similarly, t</w:t>
      </w:r>
      <w:r w:rsidR="00F47FDE" w:rsidRPr="00876122">
        <w:rPr>
          <w:rFonts w:eastAsia="Times New Roman"/>
          <w:szCs w:val="24"/>
          <w:lang w:eastAsia="hr-HR" w:bidi="hr-HR"/>
        </w:rPr>
        <w:t xml:space="preserve">he Council </w:t>
      </w:r>
      <w:r w:rsidR="00486EDB">
        <w:rPr>
          <w:rFonts w:eastAsia="Times New Roman"/>
          <w:szCs w:val="24"/>
          <w:lang w:eastAsia="hr-HR" w:bidi="hr-HR"/>
        </w:rPr>
        <w:t xml:space="preserve">has </w:t>
      </w:r>
      <w:r w:rsidR="005F253E">
        <w:rPr>
          <w:rFonts w:eastAsia="Times New Roman"/>
          <w:szCs w:val="24"/>
          <w:lang w:eastAsia="hr-HR" w:bidi="hr-HR"/>
        </w:rPr>
        <w:t>call</w:t>
      </w:r>
      <w:r w:rsidR="00486EDB">
        <w:rPr>
          <w:rFonts w:eastAsia="Times New Roman"/>
          <w:szCs w:val="24"/>
          <w:lang w:eastAsia="hr-HR" w:bidi="hr-HR"/>
        </w:rPr>
        <w:t>ed</w:t>
      </w:r>
      <w:r w:rsidR="005F253E">
        <w:rPr>
          <w:rFonts w:eastAsia="Times New Roman"/>
          <w:szCs w:val="24"/>
          <w:lang w:eastAsia="hr-HR" w:bidi="hr-HR"/>
        </w:rPr>
        <w:t xml:space="preserve"> for</w:t>
      </w:r>
      <w:r w:rsidR="00F47FDE" w:rsidRPr="00876122">
        <w:rPr>
          <w:rFonts w:eastAsia="Times New Roman"/>
          <w:szCs w:val="24"/>
          <w:lang w:eastAsia="hr-HR" w:bidi="hr-HR"/>
        </w:rPr>
        <w:t xml:space="preserve"> the training of judges and legal practitioners to ensure EU legislation in the field of civil and criminal justice</w:t>
      </w:r>
      <w:r w:rsidR="00186FE3">
        <w:rPr>
          <w:rFonts w:eastAsia="Times New Roman"/>
          <w:szCs w:val="24"/>
          <w:lang w:eastAsia="hr-HR" w:bidi="hr-HR"/>
        </w:rPr>
        <w:t xml:space="preserve"> is </w:t>
      </w:r>
      <w:r w:rsidR="00186FE3" w:rsidRPr="00876122">
        <w:rPr>
          <w:rFonts w:eastAsia="Times New Roman"/>
          <w:szCs w:val="24"/>
          <w:lang w:eastAsia="hr-HR" w:bidi="hr-HR"/>
        </w:rPr>
        <w:t>effective</w:t>
      </w:r>
      <w:r w:rsidR="00186FE3">
        <w:rPr>
          <w:rFonts w:eastAsia="Times New Roman"/>
          <w:szCs w:val="24"/>
          <w:lang w:eastAsia="hr-HR" w:bidi="hr-HR"/>
        </w:rPr>
        <w:t>ly</w:t>
      </w:r>
      <w:r w:rsidR="00186FE3" w:rsidRPr="00876122">
        <w:rPr>
          <w:rFonts w:eastAsia="Times New Roman"/>
          <w:szCs w:val="24"/>
          <w:lang w:eastAsia="hr-HR" w:bidi="hr-HR"/>
        </w:rPr>
        <w:t xml:space="preserve"> appli</w:t>
      </w:r>
      <w:r w:rsidR="00186FE3">
        <w:rPr>
          <w:rFonts w:eastAsia="Times New Roman"/>
          <w:szCs w:val="24"/>
          <w:lang w:eastAsia="hr-HR" w:bidi="hr-HR"/>
        </w:rPr>
        <w:t>ed</w:t>
      </w:r>
      <w:r w:rsidR="00F47FDE" w:rsidRPr="00876122">
        <w:rPr>
          <w:rFonts w:eastAsia="Times New Roman"/>
          <w:szCs w:val="24"/>
          <w:lang w:eastAsia="hr-HR" w:bidi="hr-HR"/>
        </w:rPr>
        <w:t xml:space="preserve">. </w:t>
      </w:r>
      <w:r w:rsidR="00B1325D">
        <w:rPr>
          <w:rFonts w:eastAsia="Times New Roman"/>
          <w:color w:val="000000"/>
          <w:szCs w:val="24"/>
          <w:lang w:eastAsia="hr-HR" w:bidi="hr-HR"/>
        </w:rPr>
        <w:t>N</w:t>
      </w:r>
      <w:r w:rsidR="00F47FDE" w:rsidRPr="00876122">
        <w:rPr>
          <w:rFonts w:eastAsia="Times New Roman"/>
          <w:color w:val="000000"/>
          <w:szCs w:val="24"/>
          <w:lang w:eastAsia="hr-HR" w:bidi="hr-HR"/>
        </w:rPr>
        <w:t xml:space="preserve">ational courts act as EU courts when applying EU law </w:t>
      </w:r>
      <w:r w:rsidR="00B1325D">
        <w:rPr>
          <w:rFonts w:eastAsia="Times New Roman"/>
          <w:color w:val="000000"/>
          <w:szCs w:val="24"/>
          <w:lang w:eastAsia="hr-HR" w:bidi="hr-HR"/>
        </w:rPr>
        <w:t xml:space="preserve">and </w:t>
      </w:r>
      <w:r w:rsidR="00F47FDE" w:rsidRPr="00876122">
        <w:rPr>
          <w:rFonts w:eastAsia="Times New Roman"/>
          <w:color w:val="000000"/>
          <w:szCs w:val="24"/>
          <w:lang w:eastAsia="hr-HR" w:bidi="hr-HR"/>
        </w:rPr>
        <w:t xml:space="preserve">the work of judges and justice practitioners involved in the application of EU law is essential </w:t>
      </w:r>
      <w:proofErr w:type="gramStart"/>
      <w:r w:rsidR="002B284E">
        <w:rPr>
          <w:rFonts w:eastAsia="Times New Roman"/>
          <w:color w:val="000000"/>
          <w:szCs w:val="24"/>
          <w:lang w:eastAsia="hr-HR" w:bidi="hr-HR"/>
        </w:rPr>
        <w:t xml:space="preserve">in order </w:t>
      </w:r>
      <w:r w:rsidR="005A737B">
        <w:rPr>
          <w:rFonts w:eastAsia="Times New Roman"/>
          <w:color w:val="000000"/>
          <w:szCs w:val="24"/>
          <w:lang w:eastAsia="hr-HR" w:bidi="hr-HR"/>
        </w:rPr>
        <w:t>for</w:t>
      </w:r>
      <w:proofErr w:type="gramEnd"/>
      <w:r w:rsidR="005A737B">
        <w:rPr>
          <w:rFonts w:eastAsia="Times New Roman"/>
          <w:color w:val="000000"/>
          <w:szCs w:val="24"/>
          <w:lang w:eastAsia="hr-HR" w:bidi="hr-HR"/>
        </w:rPr>
        <w:t xml:space="preserve"> </w:t>
      </w:r>
      <w:r w:rsidR="00F47FDE" w:rsidRPr="00876122">
        <w:rPr>
          <w:rFonts w:eastAsia="Times New Roman"/>
          <w:color w:val="000000"/>
          <w:szCs w:val="24"/>
          <w:lang w:eastAsia="hr-HR" w:bidi="hr-HR"/>
        </w:rPr>
        <w:t>the U</w:t>
      </w:r>
      <w:r w:rsidR="00DF6207">
        <w:rPr>
          <w:rFonts w:eastAsia="Times New Roman"/>
          <w:color w:val="000000"/>
          <w:szCs w:val="24"/>
          <w:lang w:eastAsia="hr-HR" w:bidi="hr-HR"/>
        </w:rPr>
        <w:t>nion</w:t>
      </w:r>
      <w:r w:rsidR="00F47FDE" w:rsidRPr="00876122">
        <w:rPr>
          <w:rFonts w:eastAsia="Times New Roman"/>
          <w:color w:val="000000"/>
          <w:szCs w:val="24"/>
          <w:lang w:eastAsia="hr-HR" w:bidi="hr-HR"/>
        </w:rPr>
        <w:t xml:space="preserve"> area of justice</w:t>
      </w:r>
      <w:r w:rsidR="005A737B">
        <w:rPr>
          <w:rFonts w:eastAsia="Times New Roman"/>
          <w:color w:val="000000"/>
          <w:szCs w:val="24"/>
          <w:lang w:eastAsia="hr-HR" w:bidi="hr-HR"/>
        </w:rPr>
        <w:t xml:space="preserve"> to work smoothly</w:t>
      </w:r>
      <w:r w:rsidR="00F47FDE" w:rsidRPr="00876122">
        <w:rPr>
          <w:rFonts w:eastAsia="Times New Roman"/>
          <w:color w:val="000000"/>
          <w:szCs w:val="24"/>
          <w:lang w:eastAsia="hr-HR" w:bidi="hr-HR"/>
        </w:rPr>
        <w:t xml:space="preserve">. </w:t>
      </w:r>
      <w:r w:rsidR="00517D20">
        <w:rPr>
          <w:rFonts w:eastAsia="Times New Roman"/>
          <w:color w:val="000000"/>
          <w:szCs w:val="24"/>
          <w:lang w:eastAsia="hr-HR" w:bidi="hr-HR"/>
        </w:rPr>
        <w:t>T</w:t>
      </w:r>
      <w:r w:rsidR="00F47FDE" w:rsidRPr="00876122">
        <w:rPr>
          <w:rFonts w:eastAsia="Times New Roman"/>
          <w:color w:val="000000"/>
          <w:szCs w:val="24"/>
          <w:lang w:eastAsia="hr-HR" w:bidi="hr-HR"/>
        </w:rPr>
        <w:t xml:space="preserve">raining justice practitioners </w:t>
      </w:r>
      <w:r w:rsidR="00517D20">
        <w:rPr>
          <w:rFonts w:eastAsia="Times New Roman"/>
          <w:color w:val="000000"/>
          <w:szCs w:val="24"/>
          <w:lang w:eastAsia="hr-HR" w:bidi="hr-HR"/>
        </w:rPr>
        <w:t>i</w:t>
      </w:r>
      <w:r w:rsidR="00F47FDE" w:rsidRPr="00876122">
        <w:rPr>
          <w:rFonts w:eastAsia="Times New Roman"/>
          <w:color w:val="000000"/>
          <w:szCs w:val="24"/>
          <w:lang w:eastAsia="hr-HR" w:bidi="hr-HR"/>
        </w:rPr>
        <w:t xml:space="preserve">n EU law is </w:t>
      </w:r>
      <w:r w:rsidR="00517D20">
        <w:rPr>
          <w:rFonts w:eastAsia="Times New Roman"/>
          <w:color w:val="000000"/>
          <w:szCs w:val="24"/>
          <w:lang w:eastAsia="hr-HR" w:bidi="hr-HR"/>
        </w:rPr>
        <w:t xml:space="preserve">therefore vital </w:t>
      </w:r>
      <w:r w:rsidR="00275AA6">
        <w:rPr>
          <w:rFonts w:eastAsia="Times New Roman"/>
          <w:color w:val="000000"/>
          <w:szCs w:val="24"/>
          <w:lang w:eastAsia="hr-HR" w:bidi="hr-HR"/>
        </w:rPr>
        <w:t xml:space="preserve">not only </w:t>
      </w:r>
      <w:r w:rsidR="00F47FDE" w:rsidRPr="00876122">
        <w:rPr>
          <w:rFonts w:eastAsia="Times New Roman"/>
          <w:color w:val="000000"/>
          <w:szCs w:val="24"/>
          <w:lang w:eastAsia="hr-HR" w:bidi="hr-HR"/>
        </w:rPr>
        <w:t xml:space="preserve">to </w:t>
      </w:r>
      <w:r w:rsidR="00B65E66">
        <w:rPr>
          <w:rFonts w:eastAsia="Times New Roman"/>
          <w:color w:val="000000"/>
          <w:szCs w:val="24"/>
          <w:lang w:eastAsia="hr-HR" w:bidi="hr-HR"/>
        </w:rPr>
        <w:t xml:space="preserve">ensure </w:t>
      </w:r>
      <w:r w:rsidR="00F47FDE" w:rsidRPr="00876122">
        <w:rPr>
          <w:rFonts w:eastAsia="Times New Roman"/>
          <w:color w:val="000000"/>
          <w:szCs w:val="24"/>
          <w:lang w:eastAsia="hr-HR" w:bidi="hr-HR"/>
        </w:rPr>
        <w:t xml:space="preserve">the correct and uniform application of EU law, </w:t>
      </w:r>
      <w:r w:rsidR="007B7EE0">
        <w:rPr>
          <w:rFonts w:eastAsia="Times New Roman"/>
          <w:color w:val="000000"/>
          <w:szCs w:val="24"/>
          <w:lang w:eastAsia="hr-HR" w:bidi="hr-HR"/>
        </w:rPr>
        <w:t>but</w:t>
      </w:r>
      <w:r w:rsidR="00963727">
        <w:rPr>
          <w:rFonts w:eastAsia="Times New Roman"/>
          <w:color w:val="000000"/>
          <w:szCs w:val="24"/>
          <w:lang w:eastAsia="hr-HR" w:bidi="hr-HR"/>
        </w:rPr>
        <w:t xml:space="preserve"> </w:t>
      </w:r>
      <w:r w:rsidR="006E4C76">
        <w:rPr>
          <w:rFonts w:eastAsia="Times New Roman"/>
          <w:color w:val="000000"/>
          <w:szCs w:val="24"/>
          <w:lang w:eastAsia="hr-HR" w:bidi="hr-HR"/>
        </w:rPr>
        <w:t xml:space="preserve">also to </w:t>
      </w:r>
      <w:r w:rsidR="00963727">
        <w:rPr>
          <w:rFonts w:eastAsia="Times New Roman"/>
          <w:color w:val="000000"/>
          <w:szCs w:val="24"/>
          <w:lang w:eastAsia="hr-HR" w:bidi="hr-HR"/>
        </w:rPr>
        <w:t>promote</w:t>
      </w:r>
      <w:r w:rsidR="00F47FDE" w:rsidRPr="00876122">
        <w:rPr>
          <w:rFonts w:eastAsia="Times New Roman"/>
          <w:color w:val="000000"/>
          <w:szCs w:val="24"/>
          <w:lang w:eastAsia="hr-HR" w:bidi="hr-HR"/>
        </w:rPr>
        <w:t xml:space="preserve"> mutual trust in cross-border judicial proceedings and </w:t>
      </w:r>
      <w:r w:rsidR="005C0AD2">
        <w:rPr>
          <w:rFonts w:eastAsia="Times New Roman"/>
          <w:color w:val="000000"/>
          <w:szCs w:val="24"/>
          <w:lang w:eastAsia="hr-HR" w:bidi="hr-HR"/>
        </w:rPr>
        <w:t xml:space="preserve">ensure </w:t>
      </w:r>
      <w:r w:rsidR="00F47FDE" w:rsidRPr="00876122">
        <w:rPr>
          <w:rFonts w:eastAsia="Times New Roman"/>
          <w:color w:val="000000"/>
          <w:szCs w:val="24"/>
          <w:lang w:eastAsia="hr-HR" w:bidi="hr-HR"/>
        </w:rPr>
        <w:t>the respect of the rule of law in the EU. The Justice programme will continue to support</w:t>
      </w:r>
      <w:r w:rsidR="00876122" w:rsidRPr="00876122">
        <w:rPr>
          <w:rFonts w:eastAsia="Times New Roman"/>
          <w:color w:val="000000"/>
          <w:szCs w:val="24"/>
          <w:lang w:eastAsia="hr-HR" w:bidi="hr-HR"/>
        </w:rPr>
        <w:t xml:space="preserve"> </w:t>
      </w:r>
      <w:r w:rsidR="00F47FDE" w:rsidRPr="00876122">
        <w:rPr>
          <w:rFonts w:eastAsia="Times New Roman"/>
          <w:color w:val="000000"/>
          <w:szCs w:val="24"/>
          <w:lang w:eastAsia="hr-HR" w:bidi="hr-HR"/>
        </w:rPr>
        <w:t>high</w:t>
      </w:r>
      <w:r w:rsidR="004A526F">
        <w:rPr>
          <w:rFonts w:eastAsia="Times New Roman"/>
          <w:color w:val="000000"/>
          <w:szCs w:val="24"/>
          <w:lang w:eastAsia="hr-HR" w:bidi="hr-HR"/>
        </w:rPr>
        <w:t>-</w:t>
      </w:r>
      <w:r w:rsidR="00F47FDE" w:rsidRPr="00876122">
        <w:rPr>
          <w:rFonts w:eastAsia="Times New Roman"/>
          <w:color w:val="000000"/>
          <w:szCs w:val="24"/>
          <w:lang w:eastAsia="hr-HR" w:bidi="hr-HR"/>
        </w:rPr>
        <w:t xml:space="preserve">quality cross-border training projects with EU added value and in line with the new </w:t>
      </w:r>
      <w:r w:rsidR="002E00A9" w:rsidRPr="00876122">
        <w:rPr>
          <w:rFonts w:eastAsia="Times New Roman"/>
          <w:color w:val="000000"/>
          <w:szCs w:val="24"/>
          <w:lang w:eastAsia="hr-HR" w:bidi="hr-HR"/>
        </w:rPr>
        <w:t>2025-2030</w:t>
      </w:r>
      <w:r w:rsidR="002E00A9">
        <w:rPr>
          <w:rFonts w:eastAsia="Times New Roman"/>
          <w:color w:val="000000"/>
          <w:szCs w:val="24"/>
          <w:lang w:eastAsia="hr-HR" w:bidi="hr-HR"/>
        </w:rPr>
        <w:t xml:space="preserve"> </w:t>
      </w:r>
      <w:r w:rsidR="00F47FDE" w:rsidRPr="00876122">
        <w:rPr>
          <w:rFonts w:eastAsia="Times New Roman"/>
          <w:color w:val="000000"/>
          <w:szCs w:val="24"/>
          <w:lang w:eastAsia="hr-HR" w:bidi="hr-HR"/>
        </w:rPr>
        <w:t>Judicial Training Strategy</w:t>
      </w:r>
      <w:r w:rsidR="005F56DB">
        <w:rPr>
          <w:rFonts w:eastAsia="Times New Roman"/>
          <w:color w:val="000000"/>
          <w:szCs w:val="24"/>
          <w:lang w:eastAsia="hr-HR" w:bidi="hr-HR"/>
        </w:rPr>
        <w:t>,</w:t>
      </w:r>
      <w:r w:rsidR="00565C8C">
        <w:rPr>
          <w:rFonts w:eastAsia="Times New Roman"/>
          <w:color w:val="000000"/>
          <w:szCs w:val="24"/>
          <w:lang w:eastAsia="hr-HR" w:bidi="hr-HR"/>
        </w:rPr>
        <w:t xml:space="preserve"> </w:t>
      </w:r>
      <w:r w:rsidR="00F47FDE" w:rsidRPr="00876122">
        <w:rPr>
          <w:rFonts w:eastAsia="Times New Roman"/>
          <w:color w:val="000000"/>
          <w:szCs w:val="24"/>
          <w:lang w:eastAsia="hr-HR" w:bidi="hr-HR"/>
        </w:rPr>
        <w:t xml:space="preserve">as well as the key role </w:t>
      </w:r>
      <w:r w:rsidR="005F56DB">
        <w:rPr>
          <w:rFonts w:eastAsia="Times New Roman"/>
          <w:color w:val="000000"/>
          <w:szCs w:val="24"/>
          <w:lang w:eastAsia="hr-HR" w:bidi="hr-HR"/>
        </w:rPr>
        <w:t xml:space="preserve">played by </w:t>
      </w:r>
      <w:r w:rsidR="00F47FDE" w:rsidRPr="00876122">
        <w:rPr>
          <w:rFonts w:eastAsia="Times New Roman"/>
          <w:color w:val="000000"/>
          <w:szCs w:val="24"/>
          <w:lang w:eastAsia="hr-HR" w:bidi="hr-HR"/>
        </w:rPr>
        <w:t xml:space="preserve">the European Judicial Training Network (EJTN). The support provided to judicial training is aimed to align national and EU-judicial training efforts and address common priority training needs identified by justice professionals across </w:t>
      </w:r>
      <w:r w:rsidR="00B75325">
        <w:rPr>
          <w:rFonts w:eastAsia="Times New Roman"/>
          <w:color w:val="000000"/>
          <w:szCs w:val="24"/>
          <w:lang w:eastAsia="hr-HR" w:bidi="hr-HR"/>
        </w:rPr>
        <w:t xml:space="preserve">the </w:t>
      </w:r>
      <w:r w:rsidR="00F47FDE" w:rsidRPr="00876122">
        <w:rPr>
          <w:rFonts w:eastAsia="Times New Roman"/>
          <w:color w:val="000000"/>
          <w:szCs w:val="24"/>
          <w:lang w:eastAsia="hr-HR" w:bidi="hr-HR"/>
        </w:rPr>
        <w:t>Member States.</w:t>
      </w:r>
    </w:p>
    <w:p w14:paraId="5C1CBFD9" w14:textId="1982BFE6"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For instance, independent and qualified justice professionals have a central role in applying fundamental rights norms in concrete cases. The importance of providing training to justice professionals on the fundamental rights enshrined in the Charter has been acknowledged in the Strategy to strengthen the application of the Charter of Fundamental Rights in the EU</w:t>
      </w:r>
      <w:r w:rsidR="00EB5605">
        <w:rPr>
          <w:rStyle w:val="FootnoteReference"/>
          <w:rFonts w:eastAsia="Times New Roman"/>
          <w:color w:val="000000"/>
          <w:szCs w:val="24"/>
          <w:lang w:eastAsia="hr-HR" w:bidi="hr-HR"/>
        </w:rPr>
        <w:footnoteReference w:id="22"/>
      </w:r>
      <w:r w:rsidRPr="00876122">
        <w:rPr>
          <w:rFonts w:eastAsia="Times New Roman"/>
          <w:color w:val="000000"/>
          <w:szCs w:val="24"/>
          <w:lang w:eastAsia="hr-HR" w:bidi="hr-HR"/>
        </w:rPr>
        <w:t xml:space="preserve">. </w:t>
      </w:r>
      <w:r w:rsidRPr="00876122">
        <w:rPr>
          <w:rFonts w:eastAsia="Times New Roman"/>
          <w:szCs w:val="24"/>
          <w:shd w:val="clear" w:color="auto" w:fill="FFFFFF"/>
          <w:lang w:eastAsia="hr-HR" w:bidi="hr-HR"/>
        </w:rPr>
        <w:t xml:space="preserve">In the area of whistleblower protection, the Commission, in its 2024 report of transposition, underlined whistleblowers must be able to fully understand the extent of their rights and the conditions for protection without running the risk of “falling between the cracks” because of the vagueness or ambiguity of the applicable rules. Training of justice professionals is a key element to effectively implement </w:t>
      </w:r>
      <w:bookmarkStart w:id="10" w:name="_Hlk205451266"/>
      <w:r w:rsidRPr="00876122">
        <w:rPr>
          <w:rFonts w:eastAsia="Times New Roman"/>
          <w:szCs w:val="24"/>
          <w:shd w:val="clear" w:color="auto" w:fill="FFFFFF"/>
          <w:lang w:eastAsia="hr-HR" w:bidi="hr-HR"/>
        </w:rPr>
        <w:t>Directive 2019/1937</w:t>
      </w:r>
      <w:bookmarkEnd w:id="10"/>
      <w:r w:rsidR="00EB5605">
        <w:rPr>
          <w:rStyle w:val="FootnoteReference"/>
          <w:rFonts w:eastAsia="Times New Roman"/>
          <w:szCs w:val="24"/>
          <w:lang w:eastAsia="hr-HR" w:bidi="hr-HR"/>
        </w:rPr>
        <w:footnoteReference w:id="23"/>
      </w:r>
      <w:r w:rsidRPr="00876122">
        <w:rPr>
          <w:rFonts w:eastAsia="Times New Roman"/>
          <w:szCs w:val="24"/>
          <w:shd w:val="clear" w:color="auto" w:fill="FFFFFF"/>
          <w:lang w:eastAsia="hr-HR" w:bidi="hr-HR"/>
        </w:rPr>
        <w:t xml:space="preserve"> and to ensure that adequate protection to prevent or remedy retaliation is granted and that whistleblowers have access to the legal </w:t>
      </w:r>
      <w:r w:rsidRPr="00876122">
        <w:rPr>
          <w:rFonts w:eastAsia="Times New Roman"/>
          <w:szCs w:val="24"/>
          <w:shd w:val="clear" w:color="auto" w:fill="FFFFFF"/>
          <w:lang w:eastAsia="hr-HR" w:bidi="hr-HR"/>
        </w:rPr>
        <w:lastRenderedPageBreak/>
        <w:t>remedies provided for under the Directive. </w:t>
      </w:r>
    </w:p>
    <w:p w14:paraId="55F8D9A6" w14:textId="50D84301"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Moreover, support </w:t>
      </w:r>
      <w:r w:rsidR="001A7251">
        <w:rPr>
          <w:rFonts w:eastAsia="Times New Roman"/>
          <w:color w:val="000000"/>
          <w:szCs w:val="24"/>
          <w:lang w:eastAsia="hr-HR" w:bidi="hr-HR"/>
        </w:rPr>
        <w:t>for</w:t>
      </w:r>
      <w:r w:rsidRPr="00876122">
        <w:rPr>
          <w:rFonts w:eastAsia="Times New Roman"/>
          <w:color w:val="000000"/>
          <w:szCs w:val="24"/>
          <w:lang w:eastAsia="hr-HR" w:bidi="hr-HR"/>
        </w:rPr>
        <w:t xml:space="preserve"> judicial training should also ensure that justice professionals acquire the necessary digital skills to keep pace with new technological developments</w:t>
      </w:r>
      <w:r w:rsidR="00F322DB">
        <w:rPr>
          <w:rFonts w:eastAsia="Times New Roman"/>
          <w:color w:val="000000"/>
          <w:szCs w:val="24"/>
          <w:lang w:eastAsia="hr-HR" w:bidi="hr-HR"/>
        </w:rPr>
        <w:t>,</w:t>
      </w:r>
      <w:r w:rsidRPr="00876122">
        <w:rPr>
          <w:rFonts w:eastAsia="Times New Roman"/>
          <w:color w:val="000000"/>
          <w:szCs w:val="24"/>
          <w:lang w:eastAsia="hr-HR" w:bidi="hr-HR"/>
        </w:rPr>
        <w:t xml:space="preserve"> in line with Regulation</w:t>
      </w:r>
      <w:r w:rsidR="00EB5605">
        <w:rPr>
          <w:rFonts w:eastAsia="Times New Roman"/>
          <w:color w:val="000000"/>
          <w:szCs w:val="24"/>
          <w:lang w:eastAsia="hr-HR" w:bidi="hr-HR"/>
        </w:rPr>
        <w:t xml:space="preserve"> (EU) 2023/2844</w:t>
      </w:r>
      <w:r w:rsidRPr="00876122">
        <w:rPr>
          <w:rStyle w:val="FootnoteReference"/>
        </w:rPr>
        <w:footnoteReference w:id="24"/>
      </w:r>
      <w:r w:rsidRPr="00876122">
        <w:rPr>
          <w:rFonts w:eastAsia="Times New Roman"/>
          <w:color w:val="000000"/>
          <w:szCs w:val="24"/>
          <w:lang w:eastAsia="hr-HR" w:bidi="hr-HR"/>
        </w:rPr>
        <w:t xml:space="preserve">. </w:t>
      </w:r>
      <w:bookmarkStart w:id="11" w:name="_Hlk199919744"/>
      <w:r w:rsidRPr="00876122">
        <w:rPr>
          <w:rFonts w:eastAsia="Times New Roman"/>
          <w:color w:val="000000"/>
          <w:szCs w:val="24"/>
          <w:lang w:eastAsia="hr-HR" w:bidi="hr-HR"/>
        </w:rPr>
        <w:t xml:space="preserve">The </w:t>
      </w:r>
      <w:r w:rsidR="00EB5605">
        <w:rPr>
          <w:rFonts w:eastAsia="Times New Roman"/>
          <w:color w:val="000000"/>
          <w:szCs w:val="24"/>
          <w:lang w:eastAsia="hr-HR" w:bidi="hr-HR"/>
        </w:rPr>
        <w:t>2025-2030</w:t>
      </w:r>
      <w:r w:rsidR="00EB5605" w:rsidRPr="00876122">
        <w:rPr>
          <w:rFonts w:eastAsia="Times New Roman"/>
          <w:color w:val="000000"/>
          <w:szCs w:val="24"/>
          <w:lang w:eastAsia="hr-HR" w:bidi="hr-HR"/>
        </w:rPr>
        <w:t xml:space="preserve"> </w:t>
      </w:r>
      <w:r w:rsidRPr="00876122">
        <w:rPr>
          <w:rFonts w:eastAsia="Times New Roman"/>
          <w:color w:val="000000"/>
          <w:szCs w:val="24"/>
          <w:lang w:eastAsia="hr-HR" w:bidi="hr-HR"/>
        </w:rPr>
        <w:t xml:space="preserve">Judicial Training Strategy strongly focuses on digitalisation of justice. </w:t>
      </w:r>
    </w:p>
    <w:bookmarkEnd w:id="11"/>
    <w:p w14:paraId="46C28BC6" w14:textId="0243B192"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A more coordinated training to implement EU-laws, including on digitalisation and digital justice, will empower justice professionals and contribute to a more unified, qualified and efficient European area of justice, beneficial to all citizens, businesses and economic growth.</w:t>
      </w:r>
    </w:p>
    <w:p w14:paraId="3078F5EF" w14:textId="77777777" w:rsidR="00F47FDE" w:rsidRPr="00876122" w:rsidRDefault="00F47FDE" w:rsidP="00F47FDE">
      <w:pPr>
        <w:widowControl w:val="0"/>
        <w:shd w:val="clear" w:color="auto" w:fill="FFFFFF"/>
        <w:spacing w:before="0" w:after="100"/>
        <w:rPr>
          <w:rFonts w:eastAsia="Times New Roman"/>
          <w:b/>
          <w:bCs/>
          <w:color w:val="000000"/>
          <w:szCs w:val="24"/>
          <w:lang w:eastAsia="hr-HR" w:bidi="hr-HR"/>
        </w:rPr>
      </w:pPr>
      <w:r w:rsidRPr="00876122">
        <w:rPr>
          <w:rFonts w:eastAsia="Times New Roman"/>
          <w:b/>
          <w:bCs/>
          <w:i/>
          <w:iCs/>
          <w:color w:val="000000"/>
          <w:szCs w:val="24"/>
          <w:lang w:eastAsia="hr-HR" w:bidi="hr-HR"/>
        </w:rPr>
        <w:t>Access to justice</w:t>
      </w:r>
    </w:p>
    <w:p w14:paraId="2B7FA4D9" w14:textId="532EEF48" w:rsidR="00F47FDE" w:rsidRPr="00876122" w:rsidRDefault="00195EEA" w:rsidP="00F47FDE">
      <w:pPr>
        <w:widowControl w:val="0"/>
        <w:shd w:val="clear" w:color="auto" w:fill="FFFFFF"/>
        <w:spacing w:before="0"/>
        <w:rPr>
          <w:rFonts w:eastAsia="Times New Roman"/>
          <w:color w:val="000000"/>
          <w:szCs w:val="24"/>
          <w:lang w:eastAsia="hr-HR" w:bidi="hr-HR"/>
        </w:rPr>
      </w:pPr>
      <w:r>
        <w:rPr>
          <w:rFonts w:eastAsia="Times New Roman"/>
          <w:color w:val="000000"/>
          <w:szCs w:val="24"/>
          <w:lang w:eastAsia="hr-HR" w:bidi="hr-HR"/>
        </w:rPr>
        <w:t xml:space="preserve">In </w:t>
      </w:r>
      <w:r w:rsidR="00F47FDE" w:rsidRPr="00876122">
        <w:rPr>
          <w:rFonts w:eastAsia="Times New Roman"/>
          <w:color w:val="000000"/>
          <w:szCs w:val="24"/>
          <w:lang w:eastAsia="hr-HR" w:bidi="hr-HR"/>
        </w:rPr>
        <w:t>the area of criminal justice</w:t>
      </w:r>
      <w:r w:rsidR="00AF6081">
        <w:rPr>
          <w:rFonts w:eastAsia="Times New Roman"/>
          <w:color w:val="000000"/>
          <w:szCs w:val="24"/>
          <w:lang w:eastAsia="hr-HR" w:bidi="hr-HR"/>
        </w:rPr>
        <w:t>,</w:t>
      </w:r>
      <w:r w:rsidR="00F47FDE" w:rsidRPr="00876122">
        <w:rPr>
          <w:rFonts w:eastAsia="Times New Roman"/>
          <w:color w:val="000000"/>
          <w:szCs w:val="24"/>
          <w:lang w:eastAsia="hr-HR" w:bidi="hr-HR"/>
        </w:rPr>
        <w:t xml:space="preserve"> </w:t>
      </w:r>
      <w:r w:rsidR="00A674FB">
        <w:rPr>
          <w:rFonts w:eastAsia="Times New Roman"/>
          <w:color w:val="000000"/>
          <w:szCs w:val="24"/>
          <w:lang w:eastAsia="hr-HR" w:bidi="hr-HR"/>
        </w:rPr>
        <w:t xml:space="preserve">further improvements are needed in </w:t>
      </w:r>
      <w:r w:rsidR="00F47FDE" w:rsidRPr="00876122">
        <w:rPr>
          <w:rFonts w:eastAsia="Times New Roman"/>
          <w:color w:val="000000"/>
          <w:szCs w:val="24"/>
          <w:lang w:eastAsia="hr-HR" w:bidi="hr-HR"/>
        </w:rPr>
        <w:t>the implementation and application of the six EU directives</w:t>
      </w:r>
      <w:r w:rsidR="00A22F5E">
        <w:rPr>
          <w:rFonts w:eastAsia="Times New Roman"/>
          <w:color w:val="000000"/>
          <w:szCs w:val="24"/>
          <w:lang w:eastAsia="hr-HR" w:bidi="hr-HR"/>
        </w:rPr>
        <w:t xml:space="preserve"> </w:t>
      </w:r>
      <w:r w:rsidR="00F47FDE" w:rsidRPr="00876122">
        <w:rPr>
          <w:rFonts w:eastAsia="Times New Roman"/>
          <w:color w:val="000000"/>
          <w:szCs w:val="24"/>
          <w:lang w:eastAsia="hr-HR" w:bidi="hr-HR"/>
        </w:rPr>
        <w:t xml:space="preserve">in the field of procedural rights of suspects and accused persons, namely: Directive 2010/64/EU on the right to interpretation and translation, Directive 2012/13/EU on the right to information, Directive 2013/48/EU on the right of access to a lawyer Directive (EU) </w:t>
      </w:r>
      <w:r w:rsidR="00F47FDE" w:rsidRPr="00876122">
        <w:rPr>
          <w:rFonts w:eastAsia="Times New Roman"/>
          <w:color w:val="000000"/>
          <w:szCs w:val="24"/>
          <w:lang w:eastAsia="bg-BG" w:bidi="bg-BG"/>
        </w:rPr>
        <w:t xml:space="preserve">2016/343 </w:t>
      </w:r>
      <w:r w:rsidR="00F47FDE" w:rsidRPr="00876122">
        <w:rPr>
          <w:rFonts w:eastAsia="Times New Roman"/>
          <w:color w:val="000000"/>
          <w:szCs w:val="24"/>
          <w:lang w:eastAsia="hr-HR" w:bidi="hr-HR"/>
        </w:rPr>
        <w:t xml:space="preserve">on strengthening certain aspects of the principle on presumption of innocence and the right to be present at the trial, Directive (EU) </w:t>
      </w:r>
      <w:r w:rsidR="00F47FDE" w:rsidRPr="00876122">
        <w:rPr>
          <w:rFonts w:eastAsia="Times New Roman"/>
          <w:color w:val="000000"/>
          <w:szCs w:val="24"/>
          <w:lang w:eastAsia="bg-BG" w:bidi="bg-BG"/>
        </w:rPr>
        <w:t xml:space="preserve">2016/800 </w:t>
      </w:r>
      <w:r w:rsidR="00F47FDE" w:rsidRPr="00876122">
        <w:rPr>
          <w:rFonts w:eastAsia="Times New Roman"/>
          <w:color w:val="000000"/>
          <w:szCs w:val="24"/>
          <w:lang w:eastAsia="hr-HR" w:bidi="hr-HR"/>
        </w:rPr>
        <w:t xml:space="preserve">on procedural safeguards for children and Directive (EU) </w:t>
      </w:r>
      <w:r w:rsidR="00F47FDE" w:rsidRPr="00876122">
        <w:rPr>
          <w:rFonts w:eastAsia="Times New Roman"/>
          <w:color w:val="000000"/>
          <w:szCs w:val="24"/>
          <w:lang w:eastAsia="bg-BG" w:bidi="bg-BG"/>
        </w:rPr>
        <w:t xml:space="preserve">2016/1919 </w:t>
      </w:r>
      <w:r w:rsidR="00F47FDE" w:rsidRPr="00876122">
        <w:rPr>
          <w:rFonts w:eastAsia="Times New Roman"/>
          <w:color w:val="000000"/>
          <w:szCs w:val="24"/>
          <w:lang w:eastAsia="hr-HR" w:bidi="hr-HR"/>
        </w:rPr>
        <w:t>on legal aid</w:t>
      </w:r>
      <w:r w:rsidR="00F47FDE" w:rsidRPr="00876122">
        <w:rPr>
          <w:rStyle w:val="FootnoteReference"/>
        </w:rPr>
        <w:footnoteReference w:id="25"/>
      </w:r>
      <w:r w:rsidR="00F47FDE" w:rsidRPr="00876122">
        <w:rPr>
          <w:rFonts w:eastAsia="Times New Roman"/>
          <w:color w:val="000000"/>
          <w:szCs w:val="24"/>
          <w:lang w:eastAsia="hr-HR" w:bidi="hr-HR"/>
        </w:rPr>
        <w:t xml:space="preserve">. </w:t>
      </w:r>
      <w:r w:rsidR="00BE6878">
        <w:rPr>
          <w:rFonts w:eastAsia="Times New Roman"/>
          <w:color w:val="000000"/>
          <w:szCs w:val="24"/>
          <w:lang w:eastAsia="hr-HR" w:bidi="hr-HR"/>
        </w:rPr>
        <w:t>There</w:t>
      </w:r>
      <w:r w:rsidR="00F47FDE" w:rsidRPr="00876122">
        <w:rPr>
          <w:rFonts w:eastAsia="Times New Roman"/>
          <w:color w:val="000000"/>
          <w:szCs w:val="24"/>
          <w:lang w:eastAsia="hr-HR" w:bidi="hr-HR"/>
        </w:rPr>
        <w:t xml:space="preserve"> </w:t>
      </w:r>
      <w:r w:rsidR="00555849">
        <w:rPr>
          <w:rFonts w:eastAsia="Times New Roman"/>
          <w:color w:val="000000"/>
          <w:szCs w:val="24"/>
          <w:lang w:eastAsia="hr-HR" w:bidi="hr-HR"/>
        </w:rPr>
        <w:t xml:space="preserve">is also </w:t>
      </w:r>
      <w:r w:rsidR="00BE6878">
        <w:rPr>
          <w:rFonts w:eastAsia="Times New Roman"/>
          <w:color w:val="000000"/>
          <w:szCs w:val="24"/>
          <w:lang w:eastAsia="hr-HR" w:bidi="hr-HR"/>
        </w:rPr>
        <w:t>a need for b</w:t>
      </w:r>
      <w:r w:rsidR="00555849">
        <w:rPr>
          <w:rFonts w:eastAsia="Times New Roman"/>
          <w:color w:val="000000"/>
          <w:szCs w:val="24"/>
          <w:lang w:eastAsia="hr-HR" w:bidi="hr-HR"/>
        </w:rPr>
        <w:t xml:space="preserve">etter </w:t>
      </w:r>
      <w:r w:rsidR="00F47FDE" w:rsidRPr="00876122">
        <w:rPr>
          <w:rFonts w:eastAsia="Times New Roman"/>
          <w:color w:val="000000"/>
          <w:szCs w:val="24"/>
          <w:lang w:eastAsia="hr-HR" w:bidi="hr-HR"/>
        </w:rPr>
        <w:t xml:space="preserve">implementation of the </w:t>
      </w:r>
      <w:r w:rsidR="005D44B3">
        <w:rPr>
          <w:rFonts w:eastAsia="Times New Roman"/>
          <w:color w:val="000000"/>
          <w:szCs w:val="24"/>
          <w:lang w:eastAsia="hr-HR" w:bidi="hr-HR"/>
        </w:rPr>
        <w:t xml:space="preserve">2013 </w:t>
      </w:r>
      <w:r w:rsidR="00F47FDE" w:rsidRPr="00876122">
        <w:rPr>
          <w:rFonts w:eastAsia="Times New Roman"/>
          <w:color w:val="000000"/>
          <w:szCs w:val="24"/>
          <w:lang w:eastAsia="hr-HR" w:bidi="hr-HR"/>
        </w:rPr>
        <w:t>Commission Recommendation on procedural safeguards for vulnerable persons suspected or accused in criminal proceedings</w:t>
      </w:r>
      <w:r w:rsidR="005D44B3">
        <w:rPr>
          <w:rStyle w:val="FootnoteReference"/>
          <w:rFonts w:eastAsia="Times New Roman"/>
          <w:color w:val="000000"/>
          <w:szCs w:val="24"/>
          <w:lang w:eastAsia="hr-HR" w:bidi="hr-HR"/>
        </w:rPr>
        <w:footnoteReference w:id="26"/>
      </w:r>
      <w:r w:rsidR="00F47FDE" w:rsidRPr="00876122">
        <w:rPr>
          <w:rFonts w:eastAsia="Times New Roman"/>
          <w:color w:val="000000"/>
          <w:szCs w:val="24"/>
          <w:lang w:eastAsia="hr-HR" w:bidi="hr-HR"/>
        </w:rPr>
        <w:t xml:space="preserve">. </w:t>
      </w:r>
      <w:r w:rsidR="00DD157A">
        <w:rPr>
          <w:rFonts w:eastAsia="Times New Roman"/>
          <w:color w:val="000000"/>
          <w:szCs w:val="24"/>
          <w:lang w:eastAsia="hr-HR" w:bidi="hr-HR"/>
        </w:rPr>
        <w:t>F</w:t>
      </w:r>
      <w:r w:rsidR="00F47FDE" w:rsidRPr="00876122">
        <w:rPr>
          <w:rFonts w:eastAsia="Times New Roman"/>
          <w:color w:val="000000"/>
          <w:szCs w:val="24"/>
          <w:lang w:eastAsia="hr-HR" w:bidi="hr-HR"/>
        </w:rPr>
        <w:t>urthermore</w:t>
      </w:r>
      <w:r w:rsidR="00DD157A">
        <w:rPr>
          <w:rFonts w:eastAsia="Times New Roman"/>
          <w:color w:val="000000"/>
          <w:szCs w:val="24"/>
          <w:lang w:eastAsia="hr-HR" w:bidi="hr-HR"/>
        </w:rPr>
        <w:t>, it is</w:t>
      </w:r>
      <w:r w:rsidR="00F47FDE" w:rsidRPr="00876122">
        <w:rPr>
          <w:rFonts w:eastAsia="Times New Roman"/>
          <w:color w:val="000000"/>
          <w:szCs w:val="24"/>
          <w:lang w:eastAsia="hr-HR" w:bidi="hr-HR"/>
        </w:rPr>
        <w:t xml:space="preserve"> crucial to raise awareness </w:t>
      </w:r>
      <w:r w:rsidR="003633BE">
        <w:rPr>
          <w:rFonts w:eastAsia="Times New Roman"/>
          <w:color w:val="000000"/>
          <w:szCs w:val="24"/>
          <w:lang w:eastAsia="hr-HR" w:bidi="hr-HR"/>
        </w:rPr>
        <w:t xml:space="preserve">of </w:t>
      </w:r>
      <w:r w:rsidR="00F47FDE" w:rsidRPr="00876122">
        <w:rPr>
          <w:rFonts w:eastAsia="Times New Roman"/>
          <w:color w:val="000000"/>
          <w:szCs w:val="24"/>
          <w:lang w:eastAsia="hr-HR" w:bidi="hr-HR"/>
        </w:rPr>
        <w:t xml:space="preserve">the legislation adopted in this area and to explore possible further developments where gaps or challenges to the </w:t>
      </w:r>
      <w:r w:rsidR="00F47FDE" w:rsidRPr="00B962D3">
        <w:rPr>
          <w:rFonts w:eastAsia="Times New Roman"/>
          <w:i/>
          <w:iCs/>
          <w:color w:val="000000"/>
          <w:szCs w:val="24"/>
          <w:lang w:eastAsia="hr-HR" w:bidi="hr-HR"/>
        </w:rPr>
        <w:t>acquis</w:t>
      </w:r>
      <w:r w:rsidR="00F47FDE" w:rsidRPr="00876122">
        <w:rPr>
          <w:rFonts w:eastAsia="Times New Roman"/>
          <w:color w:val="000000"/>
          <w:szCs w:val="24"/>
          <w:lang w:eastAsia="hr-HR" w:bidi="hr-HR"/>
        </w:rPr>
        <w:t xml:space="preserve"> have been identified. Such challenges include, </w:t>
      </w:r>
      <w:r w:rsidR="00EE158B">
        <w:rPr>
          <w:rFonts w:eastAsia="Times New Roman"/>
          <w:color w:val="000000"/>
          <w:szCs w:val="24"/>
          <w:lang w:eastAsia="hr-HR" w:bidi="hr-HR"/>
        </w:rPr>
        <w:t>among other things</w:t>
      </w:r>
      <w:r w:rsidR="00F47FDE" w:rsidRPr="00876122">
        <w:rPr>
          <w:rFonts w:eastAsia="Times New Roman"/>
          <w:color w:val="000000"/>
          <w:szCs w:val="24"/>
          <w:lang w:eastAsia="hr-HR" w:bidi="hr-HR"/>
        </w:rPr>
        <w:t>, the need to ensure the full application of the procedural rights standards set out in the above-mentioned U</w:t>
      </w:r>
      <w:r w:rsidR="00DF6207">
        <w:rPr>
          <w:rFonts w:eastAsia="Times New Roman"/>
          <w:color w:val="000000"/>
          <w:szCs w:val="24"/>
          <w:lang w:eastAsia="hr-HR" w:bidi="hr-HR"/>
        </w:rPr>
        <w:t>nion</w:t>
      </w:r>
      <w:r w:rsidR="00F47FDE" w:rsidRPr="00876122">
        <w:rPr>
          <w:rFonts w:eastAsia="Times New Roman"/>
          <w:color w:val="000000"/>
          <w:szCs w:val="24"/>
          <w:lang w:eastAsia="hr-HR" w:bidi="hr-HR"/>
        </w:rPr>
        <w:t xml:space="preserve"> </w:t>
      </w:r>
      <w:r w:rsidR="00F47FDE" w:rsidRPr="00DF6207">
        <w:rPr>
          <w:rFonts w:eastAsia="Times New Roman"/>
          <w:i/>
          <w:iCs/>
          <w:color w:val="000000"/>
          <w:szCs w:val="24"/>
          <w:lang w:eastAsia="hr-HR" w:bidi="hr-HR"/>
        </w:rPr>
        <w:t>acquis</w:t>
      </w:r>
      <w:r w:rsidR="00F47FDE" w:rsidRPr="00876122">
        <w:rPr>
          <w:rFonts w:eastAsia="Times New Roman"/>
          <w:color w:val="000000"/>
          <w:szCs w:val="24"/>
          <w:lang w:eastAsia="hr-HR" w:bidi="hr-HR"/>
        </w:rPr>
        <w:t xml:space="preserve"> in the context of the digitalisation of criminal proceedings and the use of AI tools.</w:t>
      </w:r>
    </w:p>
    <w:p w14:paraId="5AE3D632" w14:textId="6FD50F7A" w:rsidR="00F47FDE" w:rsidRPr="00876122" w:rsidRDefault="00F47FDE" w:rsidP="00F47FDE">
      <w:pPr>
        <w:widowControl w:val="0"/>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In the area of victims’ rights, the Commission will adopt in 2026 the next EU Strategy on Victims’ Rights. Among others, it will aim to ensure improved practical application of victim-centred justice systems and improved crime reporting.</w:t>
      </w:r>
      <w:r w:rsidR="00460580">
        <w:rPr>
          <w:rFonts w:eastAsia="Times New Roman"/>
          <w:color w:val="000000"/>
          <w:szCs w:val="24"/>
          <w:lang w:eastAsia="bg-BG" w:bidi="bg-BG"/>
        </w:rPr>
        <w:t xml:space="preserve"> </w:t>
      </w:r>
      <w:r w:rsidRPr="00876122">
        <w:rPr>
          <w:rFonts w:eastAsia="Times New Roman"/>
          <w:color w:val="000000"/>
          <w:szCs w:val="24"/>
          <w:lang w:eastAsia="bg-BG" w:bidi="bg-BG"/>
        </w:rPr>
        <w:t>Moreover,</w:t>
      </w:r>
      <w:r w:rsidRPr="00876122">
        <w:rPr>
          <w:rFonts w:eastAsia="Times New Roman"/>
          <w:color w:val="000000"/>
          <w:szCs w:val="24"/>
          <w:lang w:eastAsia="hr-HR" w:bidi="hr-HR"/>
        </w:rPr>
        <w:t xml:space="preserve"> in 2023, the Commission adopted a </w:t>
      </w:r>
      <w:r w:rsidRPr="00876122">
        <w:rPr>
          <w:rFonts w:eastAsia="Times New Roman"/>
          <w:color w:val="000000"/>
          <w:szCs w:val="24"/>
          <w:lang w:eastAsia="bg-BG" w:bidi="bg-BG"/>
        </w:rPr>
        <w:t>proposal for the revision of the Victims’ Rights Directive</w:t>
      </w:r>
      <w:r w:rsidRPr="00876122">
        <w:rPr>
          <w:rStyle w:val="FootnoteReference"/>
        </w:rPr>
        <w:footnoteReference w:id="27"/>
      </w:r>
      <w:r w:rsidR="008E40E1">
        <w:rPr>
          <w:rFonts w:eastAsia="Times New Roman"/>
          <w:color w:val="000000"/>
          <w:szCs w:val="24"/>
          <w:lang w:eastAsia="bg-BG" w:bidi="bg-BG"/>
        </w:rPr>
        <w:t>,</w:t>
      </w:r>
      <w:r w:rsidRPr="00876122">
        <w:rPr>
          <w:rFonts w:eastAsia="Times New Roman"/>
          <w:color w:val="000000"/>
          <w:szCs w:val="24"/>
          <w:lang w:eastAsia="bg-BG" w:bidi="bg-BG"/>
        </w:rPr>
        <w:t xml:space="preserve"> </w:t>
      </w:r>
      <w:r w:rsidR="00880480">
        <w:rPr>
          <w:rFonts w:eastAsia="Times New Roman"/>
          <w:color w:val="000000"/>
          <w:szCs w:val="24"/>
          <w:lang w:eastAsia="bg-BG" w:bidi="bg-BG"/>
        </w:rPr>
        <w:t>which</w:t>
      </w:r>
      <w:r w:rsidRPr="00876122">
        <w:rPr>
          <w:rFonts w:eastAsia="Times New Roman"/>
          <w:color w:val="000000"/>
          <w:szCs w:val="24"/>
          <w:lang w:eastAsia="bg-BG" w:bidi="bg-BG"/>
        </w:rPr>
        <w:t xml:space="preserve"> is currently under negotiation by the EU co-legislators. It is expected that in 2026 – 2027,</w:t>
      </w:r>
      <w:r w:rsidR="0035163D">
        <w:rPr>
          <w:rFonts w:eastAsia="Times New Roman"/>
          <w:color w:val="000000"/>
          <w:szCs w:val="24"/>
          <w:lang w:eastAsia="bg-BG" w:bidi="bg-BG"/>
        </w:rPr>
        <w:t xml:space="preserve"> </w:t>
      </w:r>
      <w:r w:rsidRPr="00876122">
        <w:rPr>
          <w:rFonts w:eastAsia="Times New Roman"/>
          <w:color w:val="000000"/>
          <w:szCs w:val="24"/>
          <w:lang w:eastAsia="bg-BG" w:bidi="bg-BG"/>
        </w:rPr>
        <w:t xml:space="preserve">Member States will work on the transposition of the revised Directive, with support by the Commission. </w:t>
      </w:r>
      <w:r w:rsidRPr="00876122">
        <w:rPr>
          <w:rFonts w:eastAsia="Times New Roman"/>
          <w:color w:val="000000"/>
          <w:szCs w:val="24"/>
          <w:lang w:eastAsia="hr-HR" w:bidi="hr-HR"/>
        </w:rPr>
        <w:t xml:space="preserve">The Commission will also continue to </w:t>
      </w:r>
      <w:proofErr w:type="gramStart"/>
      <w:r w:rsidR="00D319C4">
        <w:rPr>
          <w:rFonts w:eastAsia="Times New Roman"/>
          <w:color w:val="000000"/>
          <w:szCs w:val="24"/>
          <w:lang w:eastAsia="hr-HR" w:bidi="hr-HR"/>
        </w:rPr>
        <w:t>look into</w:t>
      </w:r>
      <w:proofErr w:type="gramEnd"/>
      <w:r w:rsidRPr="00876122">
        <w:rPr>
          <w:rFonts w:eastAsia="Times New Roman"/>
          <w:color w:val="000000"/>
          <w:szCs w:val="24"/>
          <w:lang w:eastAsia="hr-HR" w:bidi="hr-HR"/>
        </w:rPr>
        <w:t xml:space="preserve"> the situation of victims of core international crimes</w:t>
      </w:r>
      <w:r w:rsidR="004C52D4">
        <w:rPr>
          <w:rFonts w:eastAsia="Times New Roman"/>
          <w:color w:val="000000"/>
          <w:szCs w:val="24"/>
          <w:lang w:eastAsia="hr-HR" w:bidi="hr-HR"/>
        </w:rPr>
        <w:t xml:space="preserve"> and how </w:t>
      </w:r>
      <w:r w:rsidR="009A0D9D">
        <w:rPr>
          <w:rFonts w:eastAsia="Times New Roman"/>
          <w:color w:val="000000"/>
          <w:szCs w:val="24"/>
          <w:lang w:eastAsia="hr-HR" w:bidi="hr-HR"/>
        </w:rPr>
        <w:t xml:space="preserve">they can </w:t>
      </w:r>
      <w:r w:rsidR="009D3A8F">
        <w:rPr>
          <w:rFonts w:eastAsia="Times New Roman"/>
          <w:color w:val="000000"/>
          <w:szCs w:val="24"/>
          <w:lang w:eastAsia="hr-HR" w:bidi="hr-HR"/>
        </w:rPr>
        <w:t xml:space="preserve">best </w:t>
      </w:r>
      <w:r w:rsidR="006038CF">
        <w:rPr>
          <w:rFonts w:eastAsia="Times New Roman"/>
          <w:color w:val="000000"/>
          <w:szCs w:val="24"/>
          <w:lang w:eastAsia="hr-HR" w:bidi="hr-HR"/>
        </w:rPr>
        <w:t xml:space="preserve">be </w:t>
      </w:r>
      <w:r w:rsidR="004C52D4">
        <w:rPr>
          <w:rFonts w:eastAsia="Times New Roman"/>
          <w:color w:val="000000"/>
          <w:szCs w:val="24"/>
          <w:lang w:eastAsia="hr-HR" w:bidi="hr-HR"/>
        </w:rPr>
        <w:t>support</w:t>
      </w:r>
      <w:r w:rsidR="009A0D9D">
        <w:rPr>
          <w:rFonts w:eastAsia="Times New Roman"/>
          <w:color w:val="000000"/>
          <w:szCs w:val="24"/>
          <w:lang w:eastAsia="hr-HR" w:bidi="hr-HR"/>
        </w:rPr>
        <w:t>ed</w:t>
      </w:r>
      <w:r w:rsidRPr="00876122">
        <w:rPr>
          <w:rFonts w:eastAsia="Times New Roman"/>
          <w:color w:val="000000"/>
          <w:szCs w:val="24"/>
          <w:lang w:eastAsia="hr-HR" w:bidi="hr-HR"/>
        </w:rPr>
        <w:t xml:space="preserve">, in particular in relation to provision of their access to information, support and protection and </w:t>
      </w:r>
      <w:r w:rsidRPr="00876122">
        <w:rPr>
          <w:rFonts w:eastAsia="Times New Roman"/>
          <w:color w:val="000000"/>
          <w:szCs w:val="24"/>
          <w:lang w:eastAsia="bg-BG" w:bidi="bg-BG"/>
        </w:rPr>
        <w:t xml:space="preserve">will continue working on ensuring support and protection to victims of terrorism. </w:t>
      </w:r>
      <w:r w:rsidR="006954BB">
        <w:rPr>
          <w:rFonts w:eastAsia="Times New Roman"/>
          <w:color w:val="000000"/>
          <w:szCs w:val="24"/>
          <w:lang w:eastAsia="bg-BG" w:bidi="bg-BG"/>
        </w:rPr>
        <w:t>Furthermore</w:t>
      </w:r>
      <w:r w:rsidRPr="00876122">
        <w:rPr>
          <w:rFonts w:eastAsia="Times New Roman"/>
          <w:color w:val="000000"/>
          <w:szCs w:val="24"/>
          <w:lang w:eastAsia="bg-BG" w:bidi="bg-BG"/>
        </w:rPr>
        <w:t xml:space="preserve">, the Commission </w:t>
      </w:r>
      <w:r w:rsidRPr="00876122">
        <w:rPr>
          <w:rFonts w:eastAsia="Times New Roman"/>
          <w:color w:val="000000"/>
          <w:szCs w:val="24"/>
          <w:lang w:eastAsia="hr-HR" w:bidi="hr-HR"/>
        </w:rPr>
        <w:t xml:space="preserve">will pay particular attention to </w:t>
      </w:r>
      <w:r w:rsidRPr="00876122">
        <w:rPr>
          <w:rFonts w:eastAsia="Times New Roman"/>
          <w:color w:val="000000"/>
          <w:szCs w:val="24"/>
          <w:lang w:eastAsia="bg-BG" w:bidi="bg-BG"/>
        </w:rPr>
        <w:t xml:space="preserve">the challenges </w:t>
      </w:r>
      <w:r w:rsidR="001E339B">
        <w:rPr>
          <w:rFonts w:eastAsia="Times New Roman"/>
          <w:color w:val="000000"/>
          <w:szCs w:val="24"/>
          <w:lang w:eastAsia="bg-BG" w:bidi="bg-BG"/>
        </w:rPr>
        <w:t>faced by</w:t>
      </w:r>
      <w:r w:rsidRPr="00876122">
        <w:rPr>
          <w:rFonts w:eastAsia="Times New Roman"/>
          <w:color w:val="000000"/>
          <w:szCs w:val="24"/>
          <w:lang w:eastAsia="bg-BG" w:bidi="bg-BG"/>
        </w:rPr>
        <w:t xml:space="preserve"> victims of crime </w:t>
      </w:r>
      <w:r w:rsidR="00CC3FAE">
        <w:rPr>
          <w:rFonts w:eastAsia="Times New Roman"/>
          <w:color w:val="000000"/>
          <w:szCs w:val="24"/>
          <w:lang w:eastAsia="bg-BG" w:bidi="bg-BG"/>
        </w:rPr>
        <w:t>in</w:t>
      </w:r>
      <w:r w:rsidR="0035163D">
        <w:rPr>
          <w:rFonts w:eastAsia="Times New Roman"/>
          <w:color w:val="000000"/>
          <w:szCs w:val="24"/>
          <w:lang w:eastAsia="bg-BG" w:bidi="bg-BG"/>
        </w:rPr>
        <w:t xml:space="preserve"> relation to </w:t>
      </w:r>
      <w:r w:rsidRPr="00876122">
        <w:rPr>
          <w:rFonts w:eastAsia="Times New Roman"/>
          <w:color w:val="000000"/>
          <w:szCs w:val="24"/>
          <w:lang w:eastAsia="bg-BG" w:bidi="bg-BG"/>
        </w:rPr>
        <w:t xml:space="preserve">digitalisation of justice </w:t>
      </w:r>
      <w:r w:rsidR="00013612">
        <w:rPr>
          <w:rFonts w:eastAsia="Times New Roman"/>
          <w:color w:val="000000"/>
          <w:szCs w:val="24"/>
          <w:lang w:eastAsia="bg-BG" w:bidi="bg-BG"/>
        </w:rPr>
        <w:t xml:space="preserve">and </w:t>
      </w:r>
      <w:r w:rsidRPr="00876122">
        <w:rPr>
          <w:rFonts w:eastAsia="Times New Roman"/>
          <w:color w:val="000000"/>
          <w:szCs w:val="24"/>
          <w:lang w:eastAsia="bg-BG" w:bidi="bg-BG"/>
        </w:rPr>
        <w:t xml:space="preserve">access to legal remedies. The Commission is also working to prolong the </w:t>
      </w:r>
      <w:r w:rsidRPr="00876122" w:rsidDel="008B46C8">
        <w:rPr>
          <w:rFonts w:eastAsia="Times New Roman"/>
          <w:color w:val="000000"/>
          <w:szCs w:val="24"/>
          <w:lang w:eastAsia="hr-HR" w:bidi="hr-HR"/>
        </w:rPr>
        <w:t xml:space="preserve">EU </w:t>
      </w:r>
      <w:r w:rsidRPr="00876122">
        <w:rPr>
          <w:rFonts w:eastAsia="Times New Roman"/>
          <w:color w:val="000000"/>
          <w:szCs w:val="24"/>
          <w:lang w:eastAsia="hr-HR" w:bidi="hr-HR"/>
        </w:rPr>
        <w:t>campaign on victim</w:t>
      </w:r>
      <w:r w:rsidRPr="00876122" w:rsidDel="00127BA8">
        <w:rPr>
          <w:rFonts w:eastAsia="Times New Roman"/>
          <w:color w:val="000000"/>
          <w:szCs w:val="24"/>
          <w:lang w:eastAsia="hr-HR" w:bidi="hr-HR"/>
        </w:rPr>
        <w:t>s’ rights</w:t>
      </w:r>
      <w:r w:rsidR="005D44B3">
        <w:rPr>
          <w:rStyle w:val="FootnoteReference"/>
          <w:rFonts w:eastAsia="Times New Roman"/>
          <w:color w:val="000000"/>
          <w:szCs w:val="24"/>
          <w:lang w:eastAsia="hr-HR" w:bidi="hr-HR"/>
        </w:rPr>
        <w:footnoteReference w:id="28"/>
      </w:r>
      <w:r w:rsidRPr="00876122" w:rsidDel="00127BA8">
        <w:rPr>
          <w:rFonts w:eastAsia="Times New Roman"/>
          <w:color w:val="000000"/>
          <w:szCs w:val="24"/>
          <w:lang w:eastAsia="hr-HR" w:bidi="hr-HR"/>
        </w:rPr>
        <w:t xml:space="preserve">. </w:t>
      </w:r>
      <w:r w:rsidR="00B442FA">
        <w:rPr>
          <w:rFonts w:eastAsia="Times New Roman"/>
          <w:color w:val="000000"/>
          <w:szCs w:val="24"/>
          <w:lang w:eastAsia="hr-HR" w:bidi="hr-HR"/>
        </w:rPr>
        <w:t>I</w:t>
      </w:r>
      <w:r w:rsidRPr="00876122">
        <w:rPr>
          <w:rFonts w:eastAsia="Times New Roman"/>
          <w:color w:val="000000"/>
          <w:szCs w:val="24"/>
          <w:lang w:eastAsia="hr-HR" w:bidi="hr-HR"/>
        </w:rPr>
        <w:t xml:space="preserve">n </w:t>
      </w:r>
      <w:r w:rsidR="00E51BD7">
        <w:rPr>
          <w:rFonts w:eastAsia="Times New Roman"/>
          <w:color w:val="000000"/>
          <w:szCs w:val="24"/>
          <w:lang w:eastAsia="hr-HR" w:bidi="hr-HR"/>
        </w:rPr>
        <w:t>general,</w:t>
      </w:r>
      <w:r w:rsidR="008577A7">
        <w:rPr>
          <w:rFonts w:eastAsia="Times New Roman"/>
          <w:color w:val="000000"/>
          <w:szCs w:val="24"/>
          <w:lang w:eastAsia="hr-HR" w:bidi="hr-HR"/>
        </w:rPr>
        <w:t xml:space="preserve"> </w:t>
      </w:r>
      <w:r w:rsidR="00F56F2D">
        <w:rPr>
          <w:rFonts w:eastAsia="Times New Roman"/>
          <w:color w:val="000000"/>
          <w:szCs w:val="24"/>
          <w:lang w:eastAsia="hr-HR" w:bidi="hr-HR"/>
        </w:rPr>
        <w:t>in</w:t>
      </w:r>
      <w:r w:rsidRPr="00876122">
        <w:rPr>
          <w:rFonts w:eastAsia="Times New Roman"/>
          <w:color w:val="000000"/>
          <w:szCs w:val="24"/>
          <w:lang w:eastAsia="hr-HR" w:bidi="hr-HR"/>
        </w:rPr>
        <w:t xml:space="preserve"> </w:t>
      </w:r>
      <w:r w:rsidRPr="00876122">
        <w:rPr>
          <w:rFonts w:eastAsia="Times New Roman"/>
          <w:color w:val="000000"/>
          <w:szCs w:val="24"/>
          <w:lang w:eastAsia="bg-BG" w:bidi="bg-BG"/>
        </w:rPr>
        <w:t>2026</w:t>
      </w:r>
      <w:r w:rsidR="00F56F2D">
        <w:rPr>
          <w:rFonts w:eastAsia="Times New Roman"/>
          <w:color w:val="000000"/>
          <w:szCs w:val="24"/>
          <w:lang w:eastAsia="bg-BG" w:bidi="bg-BG"/>
        </w:rPr>
        <w:t xml:space="preserve"> and </w:t>
      </w:r>
      <w:r w:rsidRPr="00876122">
        <w:rPr>
          <w:rFonts w:eastAsia="Times New Roman"/>
          <w:color w:val="000000"/>
          <w:szCs w:val="24"/>
          <w:lang w:eastAsia="bg-BG" w:bidi="bg-BG"/>
        </w:rPr>
        <w:t>2027</w:t>
      </w:r>
      <w:r w:rsidR="0002038D">
        <w:rPr>
          <w:rFonts w:eastAsia="Times New Roman"/>
          <w:color w:val="000000"/>
          <w:szCs w:val="24"/>
          <w:lang w:eastAsia="bg-BG" w:bidi="bg-BG"/>
        </w:rPr>
        <w:t>,</w:t>
      </w:r>
      <w:r w:rsidRPr="00876122">
        <w:rPr>
          <w:rFonts w:eastAsia="Times New Roman"/>
          <w:color w:val="000000"/>
          <w:szCs w:val="24"/>
          <w:lang w:eastAsia="bg-BG" w:bidi="bg-BG"/>
        </w:rPr>
        <w:t xml:space="preserve"> </w:t>
      </w:r>
      <w:r w:rsidRPr="00876122">
        <w:rPr>
          <w:rFonts w:eastAsia="Times New Roman"/>
          <w:color w:val="000000"/>
          <w:szCs w:val="24"/>
          <w:lang w:eastAsia="hr-HR" w:bidi="hr-HR"/>
        </w:rPr>
        <w:t>the Commission will focus on</w:t>
      </w:r>
      <w:r w:rsidRPr="00B962D3">
        <w:rPr>
          <w:rFonts w:eastAsia="Times New Roman"/>
          <w:i/>
          <w:color w:val="000000"/>
          <w:szCs w:val="24"/>
          <w:lang w:eastAsia="hr-HR" w:bidi="hr-HR"/>
        </w:rPr>
        <w:t xml:space="preserve"> </w:t>
      </w:r>
      <w:r w:rsidRPr="0002038D">
        <w:rPr>
          <w:rFonts w:eastAsia="Times New Roman"/>
          <w:color w:val="000000"/>
          <w:szCs w:val="24"/>
          <w:lang w:eastAsia="hr-HR" w:bidi="hr-HR"/>
        </w:rPr>
        <w:t xml:space="preserve">improving </w:t>
      </w:r>
      <w:r w:rsidRPr="00876122">
        <w:rPr>
          <w:rFonts w:eastAsia="Times New Roman"/>
          <w:color w:val="000000"/>
          <w:szCs w:val="24"/>
          <w:lang w:eastAsia="hr-HR" w:bidi="hr-HR"/>
        </w:rPr>
        <w:t xml:space="preserve">the implementation of the EU rules on victims’ rights and on raising awareness </w:t>
      </w:r>
      <w:r w:rsidR="0002038D">
        <w:rPr>
          <w:rFonts w:eastAsia="Times New Roman"/>
          <w:color w:val="000000"/>
          <w:szCs w:val="24"/>
          <w:lang w:eastAsia="hr-HR" w:bidi="hr-HR"/>
        </w:rPr>
        <w:t xml:space="preserve">on </w:t>
      </w:r>
      <w:r w:rsidRPr="00876122">
        <w:rPr>
          <w:rFonts w:eastAsia="Times New Roman"/>
          <w:color w:val="000000"/>
          <w:szCs w:val="24"/>
          <w:lang w:eastAsia="hr-HR" w:bidi="hr-HR"/>
        </w:rPr>
        <w:t xml:space="preserve">the legislation in this area, notably on the </w:t>
      </w:r>
      <w:bookmarkStart w:id="12" w:name="_Hlk205451578"/>
      <w:r w:rsidRPr="00876122">
        <w:rPr>
          <w:rFonts w:eastAsia="Times New Roman"/>
          <w:color w:val="000000"/>
          <w:szCs w:val="24"/>
          <w:lang w:eastAsia="hr-HR" w:bidi="hr-HR"/>
        </w:rPr>
        <w:t>Victims’ Rights Directive</w:t>
      </w:r>
      <w:bookmarkEnd w:id="12"/>
      <w:r w:rsidR="00246C1B">
        <w:rPr>
          <w:rStyle w:val="FootnoteReference"/>
          <w:rFonts w:eastAsia="Times New Roman"/>
          <w:color w:val="000000"/>
          <w:szCs w:val="24"/>
          <w:lang w:eastAsia="hr-HR" w:bidi="hr-HR"/>
        </w:rPr>
        <w:footnoteReference w:id="29"/>
      </w:r>
      <w:r w:rsidRPr="00246C1B">
        <w:rPr>
          <w:rFonts w:eastAsia="Times New Roman"/>
          <w:color w:val="000000"/>
          <w:szCs w:val="24"/>
          <w:lang w:eastAsia="hr-HR" w:bidi="hr-HR"/>
        </w:rPr>
        <w:t>,</w:t>
      </w:r>
      <w:r w:rsidRPr="00876122">
        <w:rPr>
          <w:rFonts w:eastAsia="Times New Roman"/>
          <w:color w:val="000000"/>
          <w:szCs w:val="24"/>
          <w:lang w:eastAsia="hr-HR" w:bidi="hr-HR"/>
        </w:rPr>
        <w:t xml:space="preserve"> including its revised text, the Council Directive </w:t>
      </w:r>
      <w:r w:rsidRPr="00876122">
        <w:rPr>
          <w:rFonts w:eastAsia="Times New Roman"/>
          <w:color w:val="000000"/>
          <w:szCs w:val="24"/>
          <w:lang w:eastAsia="bg-BG" w:bidi="bg-BG"/>
        </w:rPr>
        <w:t xml:space="preserve">2004/80 </w:t>
      </w:r>
      <w:r w:rsidRPr="00876122">
        <w:rPr>
          <w:rFonts w:eastAsia="Times New Roman"/>
          <w:color w:val="000000"/>
          <w:szCs w:val="24"/>
          <w:lang w:eastAsia="hr-HR" w:bidi="hr-HR"/>
        </w:rPr>
        <w:t>on compensation</w:t>
      </w:r>
      <w:r w:rsidR="00246C1B">
        <w:rPr>
          <w:rStyle w:val="FootnoteReference"/>
          <w:rFonts w:eastAsia="Times New Roman"/>
          <w:color w:val="000000"/>
          <w:szCs w:val="24"/>
          <w:lang w:eastAsia="hr-HR" w:bidi="hr-HR"/>
        </w:rPr>
        <w:footnoteReference w:id="30"/>
      </w:r>
      <w:r w:rsidRPr="00876122">
        <w:rPr>
          <w:rFonts w:eastAsia="Times New Roman"/>
          <w:color w:val="000000"/>
          <w:szCs w:val="24"/>
          <w:lang w:eastAsia="hr-HR" w:bidi="hr-HR"/>
        </w:rPr>
        <w:t xml:space="preserve"> and the EU rules on protection orders</w:t>
      </w:r>
      <w:r w:rsidR="005D44B3">
        <w:rPr>
          <w:rFonts w:eastAsia="Times New Roman"/>
          <w:color w:val="000000"/>
          <w:szCs w:val="24"/>
          <w:lang w:eastAsia="hr-HR" w:bidi="hr-HR"/>
        </w:rPr>
        <w:t xml:space="preserve"> (Directive 2011/99/EU and </w:t>
      </w:r>
      <w:bookmarkStart w:id="14" w:name="_Hlk205451589"/>
      <w:r w:rsidR="005D44B3">
        <w:rPr>
          <w:rFonts w:eastAsia="Times New Roman"/>
          <w:color w:val="000000"/>
          <w:szCs w:val="24"/>
          <w:lang w:eastAsia="hr-HR" w:bidi="hr-HR"/>
        </w:rPr>
        <w:t xml:space="preserve">Regulation </w:t>
      </w:r>
      <w:r w:rsidR="00246C1B">
        <w:rPr>
          <w:rFonts w:eastAsia="Times New Roman"/>
          <w:color w:val="000000"/>
          <w:szCs w:val="24"/>
          <w:lang w:eastAsia="hr-HR" w:bidi="hr-HR"/>
        </w:rPr>
        <w:t>(EU) 606/2013</w:t>
      </w:r>
      <w:bookmarkEnd w:id="14"/>
      <w:r w:rsidR="00246C1B">
        <w:rPr>
          <w:rStyle w:val="FootnoteReference"/>
          <w:rFonts w:eastAsia="Times New Roman"/>
          <w:color w:val="000000"/>
          <w:szCs w:val="24"/>
          <w:lang w:eastAsia="hr-HR" w:bidi="hr-HR"/>
        </w:rPr>
        <w:footnoteReference w:id="31"/>
      </w:r>
      <w:r w:rsidR="00246C1B">
        <w:rPr>
          <w:rFonts w:eastAsia="Times New Roman"/>
          <w:color w:val="000000"/>
          <w:szCs w:val="24"/>
          <w:lang w:eastAsia="hr-HR" w:bidi="hr-HR"/>
        </w:rPr>
        <w:t>)</w:t>
      </w:r>
      <w:r w:rsidRPr="00876122">
        <w:rPr>
          <w:rFonts w:eastAsia="Times New Roman"/>
          <w:color w:val="000000"/>
          <w:szCs w:val="24"/>
          <w:lang w:eastAsia="hr-HR" w:bidi="hr-HR"/>
        </w:rPr>
        <w:t>.</w:t>
      </w:r>
    </w:p>
    <w:p w14:paraId="719D334C" w14:textId="074CECA9" w:rsidR="00F47FDE" w:rsidRPr="00876122" w:rsidRDefault="00F47FDE" w:rsidP="00F47FDE">
      <w:pPr>
        <w:widowControl w:val="0"/>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lastRenderedPageBreak/>
        <w:t>In the area of access to justice, it is overall crucial to keep improving how child-friendly criminal justice systems respond to the needs of children in contact with them, in line with the EU Strategy on the rights of the child</w:t>
      </w:r>
      <w:r w:rsidR="00246C1B">
        <w:rPr>
          <w:rStyle w:val="FootnoteReference"/>
          <w:rFonts w:eastAsia="Times New Roman"/>
          <w:color w:val="000000"/>
          <w:szCs w:val="24"/>
          <w:lang w:eastAsia="hr-HR" w:bidi="hr-HR"/>
        </w:rPr>
        <w:footnoteReference w:id="32"/>
      </w:r>
      <w:r w:rsidRPr="00876122">
        <w:rPr>
          <w:rFonts w:eastAsia="Times New Roman"/>
          <w:color w:val="000000"/>
          <w:szCs w:val="24"/>
          <w:lang w:eastAsia="hr-HR" w:bidi="hr-HR"/>
        </w:rPr>
        <w:t xml:space="preserve"> and the criminal justice related standards set out in the 2024 Commission Recommendation on integrated child protection systems</w:t>
      </w:r>
      <w:r w:rsidR="00246C1B">
        <w:rPr>
          <w:rStyle w:val="FootnoteReference"/>
          <w:rFonts w:eastAsia="Times New Roman"/>
          <w:color w:val="000000"/>
          <w:szCs w:val="24"/>
          <w:lang w:eastAsia="hr-HR" w:bidi="hr-HR"/>
        </w:rPr>
        <w:footnoteReference w:id="33"/>
      </w:r>
      <w:r w:rsidRPr="00876122">
        <w:rPr>
          <w:rFonts w:eastAsia="Times New Roman"/>
          <w:color w:val="000000"/>
          <w:szCs w:val="24"/>
          <w:lang w:eastAsia="hr-HR" w:bidi="hr-HR"/>
        </w:rPr>
        <w:t>.</w:t>
      </w:r>
    </w:p>
    <w:p w14:paraId="36C5E378" w14:textId="39D901BA" w:rsidR="00F47FDE" w:rsidRPr="00876122" w:rsidRDefault="00F47FDE" w:rsidP="00F47FDE">
      <w:pPr>
        <w:widowControl w:val="0"/>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The Commission also intends to continue the annual collection of data and information through the EU Justice Scoreboard and </w:t>
      </w:r>
      <w:r w:rsidR="00F1469B">
        <w:rPr>
          <w:rFonts w:eastAsia="Times New Roman"/>
          <w:color w:val="000000"/>
          <w:szCs w:val="24"/>
          <w:lang w:eastAsia="hr-HR" w:bidi="hr-HR"/>
        </w:rPr>
        <w:t>to</w:t>
      </w:r>
      <w:r w:rsidRPr="00876122">
        <w:rPr>
          <w:rFonts w:eastAsia="Times New Roman"/>
          <w:color w:val="000000"/>
          <w:szCs w:val="24"/>
          <w:lang w:eastAsia="hr-HR" w:bidi="hr-HR"/>
        </w:rPr>
        <w:t xml:space="preserve"> further develop the indicators </w:t>
      </w:r>
      <w:r w:rsidR="00F1469B">
        <w:rPr>
          <w:rFonts w:eastAsia="Times New Roman"/>
          <w:color w:val="000000"/>
          <w:szCs w:val="24"/>
          <w:lang w:eastAsia="hr-HR" w:bidi="hr-HR"/>
        </w:rPr>
        <w:t>used</w:t>
      </w:r>
      <w:r w:rsidRPr="00876122">
        <w:rPr>
          <w:rFonts w:eastAsia="Times New Roman"/>
          <w:color w:val="000000"/>
          <w:szCs w:val="24"/>
          <w:lang w:eastAsia="hr-HR" w:bidi="hr-HR"/>
        </w:rPr>
        <w:t>.</w:t>
      </w:r>
    </w:p>
    <w:p w14:paraId="60B44BFB" w14:textId="0A24FF3F" w:rsidR="00F47FDE" w:rsidRPr="00876122" w:rsidRDefault="00F47FDE" w:rsidP="00F47FDE">
      <w:pPr>
        <w:widowControl w:val="0"/>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Work will also </w:t>
      </w:r>
      <w:proofErr w:type="gramStart"/>
      <w:r w:rsidRPr="00876122">
        <w:rPr>
          <w:rFonts w:eastAsia="Times New Roman"/>
          <w:color w:val="000000"/>
          <w:szCs w:val="24"/>
          <w:lang w:eastAsia="hr-HR" w:bidi="hr-HR"/>
        </w:rPr>
        <w:t>continue on</w:t>
      </w:r>
      <w:proofErr w:type="gramEnd"/>
      <w:r w:rsidRPr="00876122">
        <w:rPr>
          <w:rFonts w:eastAsia="Times New Roman"/>
          <w:color w:val="000000"/>
          <w:szCs w:val="24"/>
          <w:lang w:eastAsia="hr-HR" w:bidi="hr-HR"/>
        </w:rPr>
        <w:t xml:space="preserve"> digitalisation of justice</w:t>
      </w:r>
      <w:r w:rsidR="0022783E">
        <w:rPr>
          <w:rFonts w:eastAsia="Times New Roman"/>
          <w:color w:val="000000"/>
          <w:szCs w:val="24"/>
          <w:lang w:eastAsia="hr-HR" w:bidi="hr-HR"/>
        </w:rPr>
        <w:t>, with</w:t>
      </w:r>
      <w:r w:rsidR="00967092">
        <w:rPr>
          <w:rFonts w:eastAsia="Times New Roman"/>
          <w:color w:val="000000"/>
          <w:szCs w:val="24"/>
          <w:lang w:eastAsia="hr-HR" w:bidi="hr-HR"/>
        </w:rPr>
        <w:t xml:space="preserve"> </w:t>
      </w:r>
      <w:r w:rsidRPr="00876122">
        <w:rPr>
          <w:rFonts w:eastAsia="Times New Roman"/>
          <w:color w:val="000000"/>
          <w:szCs w:val="24"/>
          <w:lang w:eastAsia="hr-HR" w:bidi="hr-HR"/>
        </w:rPr>
        <w:t xml:space="preserve">the aim </w:t>
      </w:r>
      <w:r w:rsidR="0022783E">
        <w:rPr>
          <w:rFonts w:eastAsia="Times New Roman"/>
          <w:color w:val="000000"/>
          <w:szCs w:val="24"/>
          <w:lang w:eastAsia="hr-HR" w:bidi="hr-HR"/>
        </w:rPr>
        <w:t xml:space="preserve">of </w:t>
      </w:r>
      <w:r w:rsidR="00967092">
        <w:rPr>
          <w:rFonts w:eastAsia="Times New Roman"/>
          <w:color w:val="000000"/>
          <w:szCs w:val="24"/>
          <w:lang w:eastAsia="hr-HR" w:bidi="hr-HR"/>
        </w:rPr>
        <w:t>mak</w:t>
      </w:r>
      <w:r w:rsidR="0022783E">
        <w:rPr>
          <w:rFonts w:eastAsia="Times New Roman"/>
          <w:color w:val="000000"/>
          <w:szCs w:val="24"/>
          <w:lang w:eastAsia="hr-HR" w:bidi="hr-HR"/>
        </w:rPr>
        <w:t>ing</w:t>
      </w:r>
      <w:r w:rsidR="00967092">
        <w:rPr>
          <w:rFonts w:eastAsia="Times New Roman"/>
          <w:color w:val="000000"/>
          <w:szCs w:val="24"/>
          <w:lang w:eastAsia="hr-HR" w:bidi="hr-HR"/>
        </w:rPr>
        <w:t xml:space="preserve"> justice more </w:t>
      </w:r>
      <w:r w:rsidRPr="00876122">
        <w:rPr>
          <w:rFonts w:eastAsia="Times New Roman"/>
          <w:color w:val="000000"/>
          <w:szCs w:val="24"/>
          <w:lang w:eastAsia="hr-HR" w:bidi="hr-HR"/>
        </w:rPr>
        <w:t>efficien</w:t>
      </w:r>
      <w:r w:rsidR="00967092">
        <w:rPr>
          <w:rFonts w:eastAsia="Times New Roman"/>
          <w:color w:val="000000"/>
          <w:szCs w:val="24"/>
          <w:lang w:eastAsia="hr-HR" w:bidi="hr-HR"/>
        </w:rPr>
        <w:t>t</w:t>
      </w:r>
      <w:r w:rsidRPr="00876122">
        <w:rPr>
          <w:rFonts w:eastAsia="Times New Roman"/>
          <w:color w:val="000000"/>
          <w:szCs w:val="24"/>
          <w:lang w:eastAsia="hr-HR" w:bidi="hr-HR"/>
        </w:rPr>
        <w:t xml:space="preserve"> and effective. </w:t>
      </w:r>
      <w:r w:rsidR="0051689A">
        <w:rPr>
          <w:rFonts w:eastAsia="Times New Roman"/>
          <w:color w:val="000000"/>
          <w:szCs w:val="24"/>
          <w:lang w:eastAsia="hr-HR" w:bidi="hr-HR"/>
        </w:rPr>
        <w:t>T</w:t>
      </w:r>
      <w:r w:rsidRPr="00876122">
        <w:rPr>
          <w:rFonts w:eastAsia="Times New Roman"/>
          <w:color w:val="000000"/>
          <w:szCs w:val="24"/>
          <w:lang w:eastAsia="hr-HR" w:bidi="hr-HR"/>
        </w:rPr>
        <w:t>he European e-Justice Portal</w:t>
      </w:r>
      <w:r w:rsidR="00246C1B">
        <w:rPr>
          <w:rStyle w:val="FootnoteReference"/>
          <w:rFonts w:eastAsia="Times New Roman"/>
          <w:color w:val="000000"/>
          <w:szCs w:val="24"/>
          <w:lang w:eastAsia="hr-HR" w:bidi="hr-HR"/>
        </w:rPr>
        <w:footnoteReference w:id="34"/>
      </w:r>
      <w:r w:rsidRPr="00876122">
        <w:rPr>
          <w:rFonts w:eastAsia="Times New Roman"/>
          <w:color w:val="000000"/>
          <w:szCs w:val="24"/>
          <w:lang w:eastAsia="hr-HR" w:bidi="hr-HR"/>
        </w:rPr>
        <w:t xml:space="preserve">, which has been in operation since July </w:t>
      </w:r>
      <w:r w:rsidRPr="00876122">
        <w:rPr>
          <w:rFonts w:eastAsia="Times New Roman"/>
          <w:color w:val="000000"/>
          <w:szCs w:val="24"/>
          <w:lang w:eastAsia="bg-BG" w:bidi="bg-BG"/>
        </w:rPr>
        <w:t>2010</w:t>
      </w:r>
      <w:r w:rsidR="0051689A">
        <w:rPr>
          <w:rFonts w:eastAsia="Times New Roman"/>
          <w:color w:val="000000"/>
          <w:szCs w:val="24"/>
          <w:lang w:eastAsia="bg-BG" w:bidi="bg-BG"/>
        </w:rPr>
        <w:t>, is a</w:t>
      </w:r>
      <w:r w:rsidR="00071E18">
        <w:rPr>
          <w:rFonts w:eastAsia="Times New Roman"/>
          <w:color w:val="000000"/>
          <w:szCs w:val="24"/>
          <w:lang w:eastAsia="bg-BG" w:bidi="bg-BG"/>
        </w:rPr>
        <w:t xml:space="preserve"> pertinent</w:t>
      </w:r>
      <w:r w:rsidR="0051689A">
        <w:rPr>
          <w:rFonts w:eastAsia="Times New Roman"/>
          <w:color w:val="000000"/>
          <w:szCs w:val="24"/>
          <w:lang w:eastAsia="bg-BG" w:bidi="bg-BG"/>
        </w:rPr>
        <w:t xml:space="preserve"> </w:t>
      </w:r>
      <w:r w:rsidR="0051689A" w:rsidRPr="00876122">
        <w:rPr>
          <w:rFonts w:eastAsia="Times New Roman"/>
          <w:color w:val="000000"/>
          <w:szCs w:val="24"/>
          <w:lang w:eastAsia="hr-HR" w:bidi="hr-HR"/>
        </w:rPr>
        <w:t>example</w:t>
      </w:r>
      <w:r w:rsidRPr="00876122">
        <w:rPr>
          <w:rFonts w:eastAsia="Times New Roman"/>
          <w:color w:val="000000"/>
          <w:szCs w:val="24"/>
          <w:lang w:eastAsia="bg-BG" w:bidi="bg-BG"/>
        </w:rPr>
        <w:t xml:space="preserve">. </w:t>
      </w:r>
      <w:r w:rsidRPr="00876122">
        <w:rPr>
          <w:rFonts w:eastAsia="Times New Roman"/>
          <w:color w:val="000000"/>
          <w:szCs w:val="24"/>
          <w:lang w:eastAsia="hr-HR" w:bidi="hr-HR"/>
        </w:rPr>
        <w:t xml:space="preserve">Since its launch, </w:t>
      </w:r>
      <w:r w:rsidR="00071E18">
        <w:rPr>
          <w:rFonts w:eastAsia="Times New Roman"/>
          <w:color w:val="000000"/>
          <w:szCs w:val="24"/>
          <w:lang w:eastAsia="hr-HR" w:bidi="hr-HR"/>
        </w:rPr>
        <w:t>the portal</w:t>
      </w:r>
      <w:r w:rsidRPr="00876122">
        <w:rPr>
          <w:rFonts w:eastAsia="Times New Roman"/>
          <w:color w:val="000000"/>
          <w:szCs w:val="24"/>
          <w:lang w:eastAsia="hr-HR" w:bidi="hr-HR"/>
        </w:rPr>
        <w:t xml:space="preserve"> has been </w:t>
      </w:r>
      <w:r w:rsidR="003E49D2">
        <w:rPr>
          <w:rFonts w:eastAsia="Times New Roman"/>
          <w:color w:val="000000"/>
          <w:szCs w:val="24"/>
          <w:lang w:eastAsia="hr-HR" w:bidi="hr-HR"/>
        </w:rPr>
        <w:t xml:space="preserve">constantly improved </w:t>
      </w:r>
      <w:r w:rsidR="00593F8F">
        <w:rPr>
          <w:rFonts w:eastAsia="Times New Roman"/>
          <w:color w:val="000000"/>
          <w:szCs w:val="24"/>
          <w:lang w:eastAsia="hr-HR" w:bidi="hr-HR"/>
        </w:rPr>
        <w:t xml:space="preserve">by adding </w:t>
      </w:r>
      <w:r w:rsidRPr="00876122">
        <w:rPr>
          <w:rFonts w:eastAsia="Times New Roman"/>
          <w:color w:val="000000"/>
          <w:szCs w:val="24"/>
          <w:lang w:eastAsia="hr-HR" w:bidi="hr-HR"/>
        </w:rPr>
        <w:t xml:space="preserve">new dynamic functionalities (e.g. interconnection of national insolvency registers, tools for finding a lawyer </w:t>
      </w:r>
      <w:r w:rsidR="00593F8F">
        <w:rPr>
          <w:rFonts w:eastAsia="Times New Roman"/>
          <w:color w:val="000000"/>
          <w:szCs w:val="24"/>
          <w:lang w:eastAsia="hr-HR" w:bidi="hr-HR"/>
        </w:rPr>
        <w:t>or</w:t>
      </w:r>
      <w:r w:rsidRPr="00876122">
        <w:rPr>
          <w:rFonts w:eastAsia="Times New Roman"/>
          <w:color w:val="000000"/>
          <w:szCs w:val="24"/>
          <w:lang w:eastAsia="hr-HR" w:bidi="hr-HR"/>
        </w:rPr>
        <w:t xml:space="preserve"> a notary in the EU, the ECLI search engine for case law, the Competent Court Database, EU access to the Business Registers Interconnection System, etc</w:t>
      </w:r>
      <w:r w:rsidRPr="00097C6F">
        <w:rPr>
          <w:rFonts w:eastAsia="Times New Roman"/>
          <w:color w:val="000000" w:themeColor="text1"/>
          <w:szCs w:val="24"/>
          <w:lang w:eastAsia="hr-HR" w:bidi="hr-HR"/>
        </w:rPr>
        <w:t>.).</w:t>
      </w:r>
      <w:r w:rsidR="00C051E4" w:rsidRPr="00097C6F">
        <w:rPr>
          <w:rFonts w:eastAsia="Times New Roman"/>
          <w:color w:val="000000" w:themeColor="text1"/>
          <w:szCs w:val="24"/>
          <w:lang w:eastAsia="hr-HR" w:bidi="hr-HR"/>
        </w:rPr>
        <w:t xml:space="preserve"> It is important to ensure the proper functioning of the e-Justice Portal and </w:t>
      </w:r>
      <w:r w:rsidR="00F824BD">
        <w:rPr>
          <w:rFonts w:eastAsia="Times New Roman"/>
          <w:color w:val="000000" w:themeColor="text1"/>
          <w:szCs w:val="24"/>
          <w:lang w:eastAsia="hr-HR" w:bidi="hr-HR"/>
        </w:rPr>
        <w:t xml:space="preserve">the availability of </w:t>
      </w:r>
      <w:r w:rsidR="00C051E4" w:rsidRPr="007D66F5">
        <w:rPr>
          <w:rFonts w:eastAsia="Times New Roman"/>
          <w:color w:val="000000" w:themeColor="text1"/>
          <w:szCs w:val="24"/>
          <w:lang w:eastAsia="hr-HR" w:bidi="hr-HR"/>
        </w:rPr>
        <w:t xml:space="preserve">its content in all </w:t>
      </w:r>
      <w:r w:rsidR="00F824BD">
        <w:rPr>
          <w:rFonts w:eastAsia="Times New Roman"/>
          <w:color w:val="000000" w:themeColor="text1"/>
          <w:szCs w:val="24"/>
          <w:lang w:eastAsia="hr-HR" w:bidi="hr-HR"/>
        </w:rPr>
        <w:t xml:space="preserve">EU </w:t>
      </w:r>
      <w:r w:rsidR="00C051E4" w:rsidRPr="00097C6F">
        <w:rPr>
          <w:rFonts w:eastAsia="Times New Roman"/>
          <w:color w:val="000000" w:themeColor="text1"/>
          <w:szCs w:val="24"/>
          <w:lang w:eastAsia="hr-HR" w:bidi="hr-HR"/>
        </w:rPr>
        <w:t>language</w:t>
      </w:r>
      <w:r w:rsidR="00F824BD">
        <w:rPr>
          <w:rFonts w:eastAsia="Times New Roman"/>
          <w:color w:val="000000" w:themeColor="text1"/>
          <w:szCs w:val="24"/>
          <w:lang w:eastAsia="hr-HR" w:bidi="hr-HR"/>
        </w:rPr>
        <w:t>s</w:t>
      </w:r>
      <w:r w:rsidR="00C051E4" w:rsidRPr="007D66F5">
        <w:rPr>
          <w:rFonts w:eastAsia="Times New Roman"/>
          <w:color w:val="000000" w:themeColor="text1"/>
          <w:szCs w:val="24"/>
          <w:lang w:eastAsia="hr-HR" w:bidi="hr-HR"/>
        </w:rPr>
        <w:t>.</w:t>
      </w:r>
      <w:r w:rsidRPr="00097C6F">
        <w:rPr>
          <w:rFonts w:eastAsia="Times New Roman"/>
          <w:color w:val="000000" w:themeColor="text1"/>
          <w:szCs w:val="24"/>
          <w:lang w:eastAsia="hr-HR" w:bidi="hr-HR"/>
        </w:rPr>
        <w:t xml:space="preserve"> </w:t>
      </w:r>
      <w:r w:rsidR="0067533F">
        <w:rPr>
          <w:rFonts w:eastAsia="Times New Roman"/>
          <w:color w:val="000000"/>
          <w:szCs w:val="24"/>
          <w:lang w:eastAsia="hr-HR" w:bidi="hr-HR"/>
        </w:rPr>
        <w:t>I</w:t>
      </w:r>
      <w:r w:rsidRPr="00876122">
        <w:rPr>
          <w:rFonts w:eastAsia="Times New Roman"/>
          <w:color w:val="000000"/>
          <w:szCs w:val="24"/>
          <w:lang w:eastAsia="hr-HR" w:bidi="hr-HR"/>
        </w:rPr>
        <w:t>mplement</w:t>
      </w:r>
      <w:r w:rsidR="0067533F">
        <w:rPr>
          <w:rFonts w:eastAsia="Times New Roman"/>
          <w:color w:val="000000"/>
          <w:szCs w:val="24"/>
          <w:lang w:eastAsia="hr-HR" w:bidi="hr-HR"/>
        </w:rPr>
        <w:t>ing</w:t>
      </w:r>
      <w:r w:rsidRPr="00876122">
        <w:rPr>
          <w:rFonts w:eastAsia="Times New Roman"/>
          <w:color w:val="000000"/>
          <w:szCs w:val="24"/>
          <w:lang w:eastAsia="hr-HR" w:bidi="hr-HR"/>
        </w:rPr>
        <w:t xml:space="preserve"> </w:t>
      </w:r>
      <w:r w:rsidR="00293208">
        <w:rPr>
          <w:rFonts w:eastAsia="Times New Roman"/>
          <w:color w:val="000000"/>
          <w:szCs w:val="24"/>
          <w:lang w:eastAsia="hr-HR" w:bidi="hr-HR"/>
        </w:rPr>
        <w:t>the</w:t>
      </w:r>
      <w:r w:rsidRPr="00876122">
        <w:rPr>
          <w:rFonts w:eastAsia="Times New Roman"/>
          <w:color w:val="000000"/>
          <w:szCs w:val="24"/>
          <w:lang w:eastAsia="hr-HR" w:bidi="hr-HR"/>
        </w:rPr>
        <w:t xml:space="preserve"> initiatives </w:t>
      </w:r>
      <w:r w:rsidR="00E35B03">
        <w:rPr>
          <w:rFonts w:eastAsia="Times New Roman"/>
          <w:color w:val="000000"/>
          <w:szCs w:val="24"/>
          <w:lang w:eastAsia="hr-HR" w:bidi="hr-HR"/>
        </w:rPr>
        <w:t xml:space="preserve">set out </w:t>
      </w:r>
      <w:r w:rsidRPr="00876122">
        <w:rPr>
          <w:rFonts w:eastAsia="Times New Roman"/>
          <w:color w:val="000000"/>
          <w:szCs w:val="24"/>
          <w:lang w:eastAsia="hr-HR" w:bidi="hr-HR"/>
        </w:rPr>
        <w:t xml:space="preserve">in the forthcoming Commission Strategy on Digitalisation of Justice and in </w:t>
      </w:r>
      <w:r w:rsidR="004A18B9">
        <w:rPr>
          <w:rFonts w:eastAsia="Times New Roman"/>
          <w:color w:val="000000"/>
          <w:szCs w:val="24"/>
          <w:lang w:eastAsia="hr-HR" w:bidi="hr-HR"/>
        </w:rPr>
        <w:t xml:space="preserve">the </w:t>
      </w:r>
      <w:r w:rsidR="004A18B9" w:rsidRPr="00876122">
        <w:rPr>
          <w:color w:val="000000"/>
        </w:rPr>
        <w:t xml:space="preserve">European e-Justice Strategy </w:t>
      </w:r>
      <w:r w:rsidR="004A18B9" w:rsidRPr="00876122">
        <w:rPr>
          <w:color w:val="000000"/>
          <w:lang w:eastAsia="bg-BG" w:bidi="bg-BG"/>
        </w:rPr>
        <w:t xml:space="preserve">(2024-2028) </w:t>
      </w:r>
      <w:r w:rsidR="004A18B9" w:rsidRPr="00876122">
        <w:rPr>
          <w:color w:val="000000"/>
        </w:rPr>
        <w:t>of the Council of the European Union</w:t>
      </w:r>
      <w:r w:rsidR="00FC1277" w:rsidRPr="00876122">
        <w:rPr>
          <w:rStyle w:val="FootnoteReference"/>
        </w:rPr>
        <w:footnoteReference w:id="35"/>
      </w:r>
      <w:r w:rsidR="00CC1E6C">
        <w:rPr>
          <w:rFonts w:eastAsia="Times New Roman"/>
          <w:color w:val="000000"/>
          <w:szCs w:val="24"/>
          <w:lang w:eastAsia="hr-HR" w:bidi="hr-HR"/>
        </w:rPr>
        <w:t xml:space="preserve"> </w:t>
      </w:r>
      <w:r w:rsidR="0067533F">
        <w:rPr>
          <w:rFonts w:eastAsia="Times New Roman"/>
          <w:color w:val="000000"/>
          <w:szCs w:val="24"/>
          <w:lang w:eastAsia="hr-HR" w:bidi="hr-HR"/>
        </w:rPr>
        <w:t>is a</w:t>
      </w:r>
      <w:r w:rsidR="0067533F" w:rsidRPr="00876122">
        <w:rPr>
          <w:rFonts w:eastAsia="Times New Roman"/>
          <w:color w:val="000000"/>
          <w:szCs w:val="24"/>
          <w:lang w:eastAsia="hr-HR" w:bidi="hr-HR"/>
        </w:rPr>
        <w:t xml:space="preserve"> general objective for </w:t>
      </w:r>
      <w:r w:rsidR="0067533F" w:rsidRPr="00876122">
        <w:rPr>
          <w:rFonts w:eastAsia="Times New Roman"/>
          <w:color w:val="000000"/>
          <w:szCs w:val="24"/>
          <w:lang w:eastAsia="bg-BG" w:bidi="bg-BG"/>
        </w:rPr>
        <w:t>2026</w:t>
      </w:r>
      <w:r w:rsidR="00FD41B3">
        <w:rPr>
          <w:rFonts w:eastAsia="Times New Roman"/>
          <w:color w:val="000000"/>
          <w:szCs w:val="24"/>
          <w:lang w:eastAsia="bg-BG" w:bidi="bg-BG"/>
        </w:rPr>
        <w:t xml:space="preserve"> and </w:t>
      </w:r>
      <w:r w:rsidR="0067533F" w:rsidRPr="00876122">
        <w:rPr>
          <w:rFonts w:eastAsia="Times New Roman"/>
          <w:color w:val="000000"/>
          <w:szCs w:val="24"/>
          <w:lang w:eastAsia="bg-BG" w:bidi="bg-BG"/>
        </w:rPr>
        <w:t>2027</w:t>
      </w:r>
      <w:r w:rsidRPr="00876122">
        <w:rPr>
          <w:rFonts w:eastAsia="Times New Roman"/>
          <w:color w:val="000000"/>
          <w:szCs w:val="24"/>
          <w:lang w:eastAsia="bg-BG" w:bidi="bg-BG"/>
        </w:rPr>
        <w:t xml:space="preserve">. </w:t>
      </w:r>
      <w:r w:rsidRPr="00876122">
        <w:rPr>
          <w:rFonts w:eastAsia="Times New Roman"/>
          <w:color w:val="000000"/>
          <w:szCs w:val="24"/>
          <w:lang w:eastAsia="hr-HR" w:bidi="hr-HR"/>
        </w:rPr>
        <w:t>This will be accomplished, among other</w:t>
      </w:r>
      <w:r w:rsidR="00591D27">
        <w:rPr>
          <w:rFonts w:eastAsia="Times New Roman"/>
          <w:color w:val="000000"/>
          <w:szCs w:val="24"/>
          <w:lang w:eastAsia="hr-HR" w:bidi="hr-HR"/>
        </w:rPr>
        <w:t xml:space="preserve"> things</w:t>
      </w:r>
      <w:r w:rsidRPr="00876122">
        <w:rPr>
          <w:rFonts w:eastAsia="Times New Roman"/>
          <w:color w:val="000000"/>
          <w:szCs w:val="24"/>
          <w:lang w:eastAsia="hr-HR" w:bidi="hr-HR"/>
        </w:rPr>
        <w:t xml:space="preserve">, by </w:t>
      </w:r>
      <w:r w:rsidR="00E72F81">
        <w:rPr>
          <w:rFonts w:eastAsia="Times New Roman"/>
          <w:color w:val="000000"/>
          <w:szCs w:val="24"/>
          <w:lang w:eastAsia="hr-HR" w:bidi="hr-HR"/>
        </w:rPr>
        <w:t xml:space="preserve">adding </w:t>
      </w:r>
      <w:r w:rsidRPr="00876122">
        <w:rPr>
          <w:rFonts w:eastAsia="Times New Roman"/>
          <w:color w:val="000000"/>
          <w:szCs w:val="24"/>
          <w:lang w:eastAsia="hr-HR" w:bidi="hr-HR"/>
        </w:rPr>
        <w:t xml:space="preserve">new content </w:t>
      </w:r>
      <w:r w:rsidR="00E72F81">
        <w:rPr>
          <w:rFonts w:eastAsia="Times New Roman"/>
          <w:color w:val="000000"/>
          <w:szCs w:val="24"/>
          <w:lang w:eastAsia="hr-HR" w:bidi="hr-HR"/>
        </w:rPr>
        <w:t>and</w:t>
      </w:r>
      <w:r w:rsidRPr="00876122">
        <w:rPr>
          <w:rFonts w:eastAsia="Times New Roman"/>
          <w:color w:val="000000"/>
          <w:szCs w:val="24"/>
          <w:lang w:eastAsia="hr-HR" w:bidi="hr-HR"/>
        </w:rPr>
        <w:t xml:space="preserve"> features </w:t>
      </w:r>
      <w:r w:rsidR="00E72F81">
        <w:rPr>
          <w:rFonts w:eastAsia="Times New Roman"/>
          <w:color w:val="000000"/>
          <w:szCs w:val="24"/>
          <w:lang w:eastAsia="hr-HR" w:bidi="hr-HR"/>
        </w:rPr>
        <w:t xml:space="preserve">to </w:t>
      </w:r>
      <w:r w:rsidRPr="00876122">
        <w:rPr>
          <w:rFonts w:eastAsia="Times New Roman"/>
          <w:color w:val="000000"/>
          <w:szCs w:val="24"/>
          <w:lang w:eastAsia="hr-HR" w:bidi="hr-HR"/>
        </w:rPr>
        <w:t xml:space="preserve">and </w:t>
      </w:r>
      <w:r w:rsidR="009C6C33">
        <w:rPr>
          <w:rFonts w:eastAsia="Times New Roman"/>
          <w:color w:val="000000"/>
          <w:szCs w:val="24"/>
          <w:lang w:eastAsia="hr-HR" w:bidi="hr-HR"/>
        </w:rPr>
        <w:t>continuing to improve</w:t>
      </w:r>
      <w:r w:rsidRPr="00876122">
        <w:rPr>
          <w:rFonts w:eastAsia="Times New Roman"/>
          <w:color w:val="000000"/>
          <w:szCs w:val="24"/>
          <w:lang w:eastAsia="hr-HR" w:bidi="hr-HR"/>
        </w:rPr>
        <w:t xml:space="preserve"> the e-Justice Portal</w:t>
      </w:r>
      <w:r w:rsidR="000F138D">
        <w:rPr>
          <w:rFonts w:eastAsia="Times New Roman"/>
          <w:color w:val="000000"/>
          <w:szCs w:val="24"/>
          <w:lang w:eastAsia="hr-HR" w:bidi="hr-HR"/>
        </w:rPr>
        <w:t>,</w:t>
      </w:r>
      <w:r w:rsidR="009C6C33">
        <w:rPr>
          <w:rFonts w:eastAsia="Times New Roman"/>
          <w:color w:val="000000"/>
          <w:szCs w:val="24"/>
          <w:lang w:eastAsia="hr-HR" w:bidi="hr-HR"/>
        </w:rPr>
        <w:t xml:space="preserve"> and</w:t>
      </w:r>
      <w:r w:rsidRPr="00876122">
        <w:rPr>
          <w:rFonts w:eastAsia="Times New Roman"/>
          <w:color w:val="000000"/>
          <w:szCs w:val="24"/>
          <w:lang w:eastAsia="hr-HR" w:bidi="hr-HR"/>
        </w:rPr>
        <w:t xml:space="preserve"> </w:t>
      </w:r>
      <w:r w:rsidR="00591D27">
        <w:rPr>
          <w:rFonts w:eastAsia="Times New Roman"/>
          <w:color w:val="000000"/>
          <w:szCs w:val="24"/>
          <w:lang w:eastAsia="hr-HR" w:bidi="hr-HR"/>
        </w:rPr>
        <w:t>by</w:t>
      </w:r>
      <w:r w:rsidRPr="00876122">
        <w:rPr>
          <w:rFonts w:eastAsia="Times New Roman"/>
          <w:color w:val="000000"/>
          <w:szCs w:val="24"/>
          <w:lang w:eastAsia="hr-HR" w:bidi="hr-HR"/>
        </w:rPr>
        <w:t xml:space="preserve"> supporting e-Justice projects </w:t>
      </w:r>
      <w:r w:rsidR="0046421C">
        <w:rPr>
          <w:rFonts w:eastAsia="Times New Roman"/>
          <w:color w:val="000000"/>
          <w:szCs w:val="24"/>
          <w:lang w:eastAsia="hr-HR" w:bidi="hr-HR"/>
        </w:rPr>
        <w:t xml:space="preserve">with </w:t>
      </w:r>
      <w:r w:rsidRPr="00876122">
        <w:rPr>
          <w:rFonts w:eastAsia="Times New Roman"/>
          <w:color w:val="000000"/>
          <w:szCs w:val="24"/>
          <w:lang w:eastAsia="hr-HR" w:bidi="hr-HR"/>
        </w:rPr>
        <w:t xml:space="preserve">a European dimension. e-Justice activities funded under the Justice </w:t>
      </w:r>
      <w:r w:rsidR="000C632E">
        <w:rPr>
          <w:rFonts w:eastAsia="Times New Roman"/>
          <w:color w:val="000000"/>
          <w:szCs w:val="24"/>
          <w:lang w:eastAsia="hr-HR" w:bidi="hr-HR"/>
        </w:rPr>
        <w:t>p</w:t>
      </w:r>
      <w:r w:rsidRPr="00876122">
        <w:rPr>
          <w:rFonts w:eastAsia="Times New Roman"/>
          <w:color w:val="000000"/>
          <w:szCs w:val="24"/>
          <w:lang w:eastAsia="hr-HR" w:bidi="hr-HR"/>
        </w:rPr>
        <w:t xml:space="preserve">rogramme </w:t>
      </w:r>
      <w:r w:rsidR="001E2C61">
        <w:rPr>
          <w:rFonts w:eastAsia="Times New Roman"/>
          <w:color w:val="000000"/>
          <w:szCs w:val="24"/>
          <w:lang w:eastAsia="hr-HR" w:bidi="hr-HR"/>
        </w:rPr>
        <w:t>during this period</w:t>
      </w:r>
      <w:r w:rsidRPr="00876122">
        <w:rPr>
          <w:rFonts w:eastAsia="Times New Roman"/>
          <w:color w:val="000000"/>
          <w:szCs w:val="24"/>
          <w:lang w:eastAsia="hr-HR" w:bidi="hr-HR"/>
        </w:rPr>
        <w:t xml:space="preserve"> will be complementary to actions financed via the Digital Europe programme (DEP).</w:t>
      </w:r>
    </w:p>
    <w:p w14:paraId="7FD3D0C5" w14:textId="77777777" w:rsidR="00F47FDE" w:rsidRPr="00876122" w:rsidRDefault="00F47FDE" w:rsidP="00F47FDE">
      <w:pPr>
        <w:widowControl w:val="0"/>
        <w:shd w:val="clear" w:color="auto" w:fill="FFFFFF"/>
        <w:spacing w:before="0" w:after="140"/>
        <w:rPr>
          <w:rFonts w:eastAsia="Times New Roman"/>
          <w:color w:val="000000"/>
          <w:szCs w:val="24"/>
          <w:lang w:eastAsia="hr-HR" w:bidi="hr-HR"/>
        </w:rPr>
        <w:sectPr w:rsidR="00F47FDE" w:rsidRPr="00876122" w:rsidSect="00302C2E">
          <w:footerReference w:type="default" r:id="rId11"/>
          <w:pgSz w:w="11900" w:h="16840"/>
          <w:pgMar w:top="1101" w:right="1301" w:bottom="1585" w:left="1331" w:header="673" w:footer="3" w:gutter="0"/>
          <w:cols w:space="720"/>
          <w:noEndnote/>
          <w:docGrid w:linePitch="360"/>
        </w:sectPr>
      </w:pPr>
    </w:p>
    <w:p w14:paraId="7BFD07AE" w14:textId="77777777" w:rsidR="00F47FDE" w:rsidRPr="00876122" w:rsidRDefault="00F47FDE" w:rsidP="00F47FDE">
      <w:pPr>
        <w:widowControl w:val="0"/>
        <w:shd w:val="clear" w:color="auto" w:fill="FFFFFF"/>
        <w:spacing w:before="0" w:after="100"/>
        <w:rPr>
          <w:rFonts w:eastAsia="Times New Roman"/>
          <w:b/>
          <w:bCs/>
          <w:smallCaps/>
          <w:color w:val="000000"/>
          <w:szCs w:val="24"/>
          <w:lang w:eastAsia="hr-HR" w:bidi="hr-HR"/>
        </w:rPr>
      </w:pPr>
      <w:r w:rsidRPr="00876122">
        <w:rPr>
          <w:rFonts w:eastAsia="Times New Roman"/>
          <w:b/>
          <w:bCs/>
          <w:smallCaps/>
          <w:color w:val="000000"/>
          <w:sz w:val="20"/>
          <w:szCs w:val="20"/>
          <w:lang w:eastAsia="hr-HR" w:bidi="hr-HR"/>
        </w:rPr>
        <w:lastRenderedPageBreak/>
        <w:t>budget overview for</w:t>
      </w:r>
      <w:r w:rsidRPr="00876122">
        <w:rPr>
          <w:rFonts w:eastAsia="Times New Roman"/>
          <w:b/>
          <w:bCs/>
          <w:color w:val="000000"/>
          <w:szCs w:val="24"/>
          <w:lang w:eastAsia="hr-HR" w:bidi="hr-HR"/>
        </w:rPr>
        <w:t xml:space="preserve"> </w:t>
      </w:r>
      <w:r w:rsidRPr="00876122">
        <w:rPr>
          <w:rFonts w:eastAsia="Times New Roman"/>
          <w:b/>
          <w:bCs/>
          <w:color w:val="000000"/>
          <w:szCs w:val="24"/>
          <w:lang w:eastAsia="bg-BG" w:bidi="bg-BG"/>
        </w:rPr>
        <w:t>2026-2027</w:t>
      </w:r>
    </w:p>
    <w:p w14:paraId="351C90A1" w14:textId="546C8CAA"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The work programme strives to ensure a realistic and effective approach in planning. The budget available is concentrated on the most important priorities and necessary recurrent activities.</w:t>
      </w:r>
    </w:p>
    <w:p w14:paraId="23E5320D"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The allocation per specific objective is as follows:</w:t>
      </w:r>
    </w:p>
    <w:p w14:paraId="2ABDF417"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tbl>
      <w:tblPr>
        <w:tblOverlap w:val="never"/>
        <w:tblW w:w="9446" w:type="dxa"/>
        <w:jc w:val="center"/>
        <w:tblLayout w:type="fixed"/>
        <w:tblCellMar>
          <w:left w:w="10" w:type="dxa"/>
          <w:right w:w="10" w:type="dxa"/>
        </w:tblCellMar>
        <w:tblLook w:val="04A0" w:firstRow="1" w:lastRow="0" w:firstColumn="1" w:lastColumn="0" w:noHBand="0" w:noVBand="1"/>
      </w:tblPr>
      <w:tblGrid>
        <w:gridCol w:w="3436"/>
        <w:gridCol w:w="1662"/>
        <w:gridCol w:w="1338"/>
        <w:gridCol w:w="1639"/>
        <w:gridCol w:w="1371"/>
      </w:tblGrid>
      <w:tr w:rsidR="00F47FDE" w:rsidRPr="00876122" w14:paraId="2BD85736" w14:textId="77777777" w:rsidTr="00D7333E">
        <w:trPr>
          <w:trHeight w:hRule="exact" w:val="1215"/>
          <w:jc w:val="center"/>
        </w:trPr>
        <w:tc>
          <w:tcPr>
            <w:tcW w:w="3436" w:type="dxa"/>
            <w:tcBorders>
              <w:top w:val="single" w:sz="4" w:space="0" w:color="auto"/>
              <w:left w:val="single" w:sz="4" w:space="0" w:color="auto"/>
            </w:tcBorders>
            <w:vAlign w:val="center"/>
          </w:tcPr>
          <w:p w14:paraId="5449E840"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hr-HR" w:bidi="hr-HR"/>
              </w:rPr>
              <w:t xml:space="preserve">Specific objective </w:t>
            </w:r>
            <w:r w:rsidRPr="00876122">
              <w:rPr>
                <w:rFonts w:eastAsia="Times New Roman"/>
                <w:color w:val="000000"/>
                <w:szCs w:val="24"/>
                <w:lang w:eastAsia="bg-BG" w:bidi="bg-BG"/>
              </w:rPr>
              <w:t xml:space="preserve">– </w:t>
            </w:r>
            <w:r w:rsidRPr="00876122">
              <w:rPr>
                <w:rFonts w:eastAsia="Times New Roman"/>
                <w:b/>
                <w:bCs/>
                <w:color w:val="000000"/>
                <w:szCs w:val="24"/>
                <w:lang w:eastAsia="hr-HR" w:bidi="hr-HR"/>
              </w:rPr>
              <w:t>Budget line</w:t>
            </w:r>
          </w:p>
        </w:tc>
        <w:tc>
          <w:tcPr>
            <w:tcW w:w="1662" w:type="dxa"/>
            <w:tcBorders>
              <w:top w:val="single" w:sz="4" w:space="0" w:color="auto"/>
              <w:left w:val="single" w:sz="4" w:space="0" w:color="auto"/>
            </w:tcBorders>
            <w:vAlign w:val="center"/>
          </w:tcPr>
          <w:p w14:paraId="325FCD8C"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bg-BG" w:bidi="bg-BG"/>
              </w:rPr>
              <w:t>2026</w:t>
            </w:r>
          </w:p>
        </w:tc>
        <w:tc>
          <w:tcPr>
            <w:tcW w:w="1338" w:type="dxa"/>
            <w:tcBorders>
              <w:top w:val="single" w:sz="4" w:space="0" w:color="auto"/>
              <w:left w:val="single" w:sz="4" w:space="0" w:color="auto"/>
            </w:tcBorders>
            <w:vAlign w:val="center"/>
          </w:tcPr>
          <w:p w14:paraId="205D35B9" w14:textId="3A78A3B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bg-BG" w:bidi="bg-BG"/>
              </w:rPr>
              <w:t xml:space="preserve">% </w:t>
            </w:r>
            <w:r w:rsidRPr="00876122">
              <w:rPr>
                <w:rFonts w:eastAsia="Times New Roman"/>
                <w:b/>
                <w:bCs/>
                <w:color w:val="000000"/>
                <w:szCs w:val="24"/>
                <w:lang w:eastAsia="hr-HR" w:bidi="hr-HR"/>
              </w:rPr>
              <w:t xml:space="preserve">of </w:t>
            </w:r>
            <w:r w:rsidRPr="00876122">
              <w:rPr>
                <w:rFonts w:eastAsia="Times New Roman"/>
                <w:b/>
                <w:bCs/>
                <w:color w:val="000000"/>
                <w:szCs w:val="24"/>
                <w:lang w:eastAsia="bg-BG" w:bidi="bg-BG"/>
              </w:rPr>
              <w:t xml:space="preserve">2026 </w:t>
            </w:r>
            <w:r w:rsidR="001C186D">
              <w:rPr>
                <w:rFonts w:eastAsia="Times New Roman"/>
                <w:b/>
                <w:bCs/>
                <w:color w:val="000000"/>
                <w:szCs w:val="24"/>
                <w:lang w:eastAsia="hr-HR" w:bidi="hr-HR"/>
              </w:rPr>
              <w:t>p</w:t>
            </w:r>
            <w:r w:rsidRPr="00876122">
              <w:rPr>
                <w:rFonts w:eastAsia="Times New Roman"/>
                <w:b/>
                <w:bCs/>
                <w:color w:val="000000"/>
                <w:szCs w:val="24"/>
                <w:lang w:eastAsia="hr-HR" w:bidi="hr-HR"/>
              </w:rPr>
              <w:t>rogramme funds</w:t>
            </w:r>
            <w:r w:rsidRPr="00876122">
              <w:rPr>
                <w:rStyle w:val="FootnoteReference"/>
              </w:rPr>
              <w:footnoteReference w:id="36"/>
            </w:r>
          </w:p>
        </w:tc>
        <w:tc>
          <w:tcPr>
            <w:tcW w:w="1639" w:type="dxa"/>
            <w:tcBorders>
              <w:top w:val="single" w:sz="4" w:space="0" w:color="auto"/>
              <w:left w:val="single" w:sz="4" w:space="0" w:color="auto"/>
            </w:tcBorders>
            <w:vAlign w:val="center"/>
          </w:tcPr>
          <w:p w14:paraId="32E2C716"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bg-BG" w:bidi="bg-BG"/>
              </w:rPr>
              <w:t>2027</w:t>
            </w:r>
          </w:p>
        </w:tc>
        <w:tc>
          <w:tcPr>
            <w:tcW w:w="1371" w:type="dxa"/>
            <w:tcBorders>
              <w:top w:val="single" w:sz="4" w:space="0" w:color="auto"/>
              <w:left w:val="single" w:sz="4" w:space="0" w:color="auto"/>
              <w:right w:val="single" w:sz="4" w:space="0" w:color="auto"/>
            </w:tcBorders>
            <w:vAlign w:val="center"/>
          </w:tcPr>
          <w:p w14:paraId="40FC5868" w14:textId="549AD6FF"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bg-BG" w:bidi="bg-BG"/>
              </w:rPr>
              <w:t xml:space="preserve">% </w:t>
            </w:r>
            <w:r w:rsidRPr="00876122">
              <w:rPr>
                <w:rFonts w:eastAsia="Times New Roman"/>
                <w:b/>
                <w:bCs/>
                <w:color w:val="000000"/>
                <w:szCs w:val="24"/>
                <w:lang w:eastAsia="hr-HR" w:bidi="hr-HR"/>
              </w:rPr>
              <w:t xml:space="preserve">of </w:t>
            </w:r>
            <w:r w:rsidRPr="00876122">
              <w:rPr>
                <w:rFonts w:eastAsia="Times New Roman"/>
                <w:b/>
                <w:bCs/>
                <w:color w:val="000000"/>
                <w:szCs w:val="24"/>
                <w:lang w:eastAsia="bg-BG" w:bidi="bg-BG"/>
              </w:rPr>
              <w:t xml:space="preserve">2027 </w:t>
            </w:r>
            <w:r w:rsidR="001C186D">
              <w:rPr>
                <w:rFonts w:eastAsia="Times New Roman"/>
                <w:b/>
                <w:bCs/>
                <w:color w:val="000000"/>
                <w:szCs w:val="24"/>
                <w:lang w:eastAsia="hr-HR" w:bidi="hr-HR"/>
              </w:rPr>
              <w:t>p</w:t>
            </w:r>
            <w:r w:rsidRPr="00876122">
              <w:rPr>
                <w:rFonts w:eastAsia="Times New Roman"/>
                <w:b/>
                <w:bCs/>
                <w:color w:val="000000"/>
                <w:szCs w:val="24"/>
                <w:lang w:eastAsia="hr-HR" w:bidi="hr-HR"/>
              </w:rPr>
              <w:t>rogramme funds</w:t>
            </w:r>
          </w:p>
        </w:tc>
      </w:tr>
      <w:tr w:rsidR="00F47FDE" w:rsidRPr="00876122" w14:paraId="0700F507" w14:textId="77777777" w:rsidTr="00B1619D">
        <w:trPr>
          <w:trHeight w:hRule="exact" w:val="500"/>
          <w:jc w:val="center"/>
        </w:trPr>
        <w:tc>
          <w:tcPr>
            <w:tcW w:w="3436" w:type="dxa"/>
            <w:tcBorders>
              <w:top w:val="single" w:sz="4" w:space="0" w:color="auto"/>
              <w:left w:val="single" w:sz="4" w:space="0" w:color="auto"/>
            </w:tcBorders>
            <w:vAlign w:val="bottom"/>
          </w:tcPr>
          <w:p w14:paraId="25968CC2"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i/>
                <w:iCs/>
                <w:color w:val="000000"/>
                <w:szCs w:val="24"/>
                <w:lang w:eastAsia="hr-HR" w:bidi="hr-HR"/>
              </w:rPr>
              <w:t>Judicial cooperation</w:t>
            </w:r>
            <w:r w:rsidRPr="00876122">
              <w:rPr>
                <w:rFonts w:eastAsia="Times New Roman"/>
                <w:color w:val="000000"/>
                <w:szCs w:val="24"/>
                <w:lang w:eastAsia="hr-HR" w:bidi="hr-HR"/>
              </w:rPr>
              <w:t xml:space="preserve"> </w:t>
            </w:r>
            <w:r w:rsidRPr="00876122">
              <w:rPr>
                <w:rFonts w:eastAsia="Times New Roman"/>
                <w:color w:val="000000"/>
                <w:szCs w:val="24"/>
                <w:lang w:eastAsia="bg-BG" w:bidi="bg-BG"/>
              </w:rPr>
              <w:t>– 07 07 01</w:t>
            </w:r>
          </w:p>
        </w:tc>
        <w:tc>
          <w:tcPr>
            <w:tcW w:w="1662" w:type="dxa"/>
            <w:tcBorders>
              <w:top w:val="single" w:sz="4" w:space="0" w:color="auto"/>
              <w:left w:val="single" w:sz="4" w:space="0" w:color="auto"/>
            </w:tcBorders>
            <w:vAlign w:val="bottom"/>
          </w:tcPr>
          <w:p w14:paraId="1BA2B5A9" w14:textId="67C60755"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color w:val="000000"/>
                <w:szCs w:val="24"/>
                <w:lang w:eastAsia="bg-BG" w:bidi="bg-BG"/>
              </w:rPr>
              <w:t>€ 1</w:t>
            </w:r>
            <w:r w:rsidR="00D47E2F" w:rsidRPr="00876122">
              <w:rPr>
                <w:rFonts w:eastAsia="Times New Roman"/>
                <w:color w:val="000000"/>
                <w:szCs w:val="24"/>
                <w:lang w:eastAsia="bg-BG" w:bidi="bg-BG"/>
              </w:rPr>
              <w:t>0</w:t>
            </w:r>
            <w:r w:rsidRPr="00876122">
              <w:rPr>
                <w:rFonts w:eastAsia="Times New Roman"/>
                <w:color w:val="000000"/>
                <w:szCs w:val="24"/>
                <w:lang w:eastAsia="bg-BG" w:bidi="bg-BG"/>
              </w:rPr>
              <w:t xml:space="preserve"> </w:t>
            </w:r>
            <w:r w:rsidR="00D47E2F" w:rsidRPr="00876122">
              <w:rPr>
                <w:rFonts w:eastAsia="Times New Roman"/>
                <w:color w:val="000000"/>
                <w:szCs w:val="24"/>
                <w:lang w:eastAsia="bg-BG" w:bidi="bg-BG"/>
              </w:rPr>
              <w:t>973</w:t>
            </w:r>
            <w:r w:rsidRPr="00876122">
              <w:rPr>
                <w:rFonts w:eastAsia="Times New Roman"/>
                <w:color w:val="000000"/>
                <w:szCs w:val="24"/>
                <w:lang w:eastAsia="bg-BG" w:bidi="bg-BG"/>
              </w:rPr>
              <w:t xml:space="preserve"> </w:t>
            </w:r>
            <w:r w:rsidR="00D47E2F" w:rsidRPr="00876122">
              <w:rPr>
                <w:rFonts w:eastAsia="Times New Roman"/>
                <w:color w:val="000000"/>
                <w:szCs w:val="24"/>
                <w:lang w:eastAsia="bg-BG" w:bidi="bg-BG"/>
              </w:rPr>
              <w:t>610</w:t>
            </w:r>
          </w:p>
        </w:tc>
        <w:tc>
          <w:tcPr>
            <w:tcW w:w="1338" w:type="dxa"/>
            <w:tcBorders>
              <w:top w:val="single" w:sz="4" w:space="0" w:color="auto"/>
              <w:left w:val="single" w:sz="4" w:space="0" w:color="auto"/>
            </w:tcBorders>
            <w:vAlign w:val="bottom"/>
          </w:tcPr>
          <w:p w14:paraId="4C1FDD4D" w14:textId="07B8B712"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27%</w:t>
            </w:r>
          </w:p>
        </w:tc>
        <w:tc>
          <w:tcPr>
            <w:tcW w:w="1639" w:type="dxa"/>
            <w:tcBorders>
              <w:top w:val="single" w:sz="4" w:space="0" w:color="auto"/>
              <w:left w:val="single" w:sz="4" w:space="0" w:color="auto"/>
            </w:tcBorders>
            <w:vAlign w:val="bottom"/>
          </w:tcPr>
          <w:p w14:paraId="7D79A2B1" w14:textId="6FCC51D3"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color w:val="000000"/>
                <w:szCs w:val="24"/>
                <w:lang w:eastAsia="bg-BG" w:bidi="bg-BG"/>
              </w:rPr>
              <w:t>€</w:t>
            </w:r>
            <w:r w:rsidR="00CC1E6C">
              <w:rPr>
                <w:rFonts w:eastAsia="Times New Roman"/>
                <w:color w:val="000000"/>
                <w:szCs w:val="24"/>
                <w:lang w:eastAsia="bg-BG" w:bidi="bg-BG"/>
              </w:rPr>
              <w:t xml:space="preserve"> </w:t>
            </w:r>
            <w:r w:rsidRPr="00876122">
              <w:rPr>
                <w:rFonts w:eastAsia="Times New Roman"/>
                <w:color w:val="000000"/>
                <w:szCs w:val="24"/>
                <w:lang w:eastAsia="bg-BG" w:bidi="bg-BG"/>
              </w:rPr>
              <w:t>10</w:t>
            </w:r>
            <w:r w:rsidR="00876122">
              <w:rPr>
                <w:rFonts w:eastAsia="Times New Roman"/>
                <w:color w:val="000000"/>
                <w:szCs w:val="24"/>
                <w:lang w:eastAsia="bg-BG" w:bidi="bg-BG"/>
              </w:rPr>
              <w:t> </w:t>
            </w:r>
            <w:r w:rsidR="00D47E2F" w:rsidRPr="00876122">
              <w:rPr>
                <w:rFonts w:eastAsia="Times New Roman"/>
                <w:color w:val="000000"/>
                <w:szCs w:val="24"/>
                <w:lang w:eastAsia="bg-BG" w:bidi="bg-BG"/>
              </w:rPr>
              <w:t>893 150</w:t>
            </w:r>
          </w:p>
        </w:tc>
        <w:tc>
          <w:tcPr>
            <w:tcW w:w="1371" w:type="dxa"/>
            <w:tcBorders>
              <w:top w:val="single" w:sz="4" w:space="0" w:color="auto"/>
              <w:left w:val="single" w:sz="4" w:space="0" w:color="auto"/>
              <w:right w:val="single" w:sz="4" w:space="0" w:color="auto"/>
            </w:tcBorders>
            <w:vAlign w:val="bottom"/>
          </w:tcPr>
          <w:p w14:paraId="3E636AB2" w14:textId="19ED5AEB"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27%</w:t>
            </w:r>
          </w:p>
        </w:tc>
      </w:tr>
      <w:tr w:rsidR="00F47FDE" w:rsidRPr="00876122" w14:paraId="67CA64A1" w14:textId="77777777" w:rsidTr="00B1619D">
        <w:trPr>
          <w:trHeight w:hRule="exact" w:val="384"/>
          <w:jc w:val="center"/>
        </w:trPr>
        <w:tc>
          <w:tcPr>
            <w:tcW w:w="3436" w:type="dxa"/>
            <w:tcBorders>
              <w:top w:val="single" w:sz="4" w:space="0" w:color="auto"/>
              <w:left w:val="single" w:sz="4" w:space="0" w:color="auto"/>
            </w:tcBorders>
            <w:vAlign w:val="bottom"/>
          </w:tcPr>
          <w:p w14:paraId="4AC4B029"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i/>
                <w:iCs/>
                <w:color w:val="000000"/>
                <w:szCs w:val="24"/>
                <w:lang w:eastAsia="hr-HR" w:bidi="hr-HR"/>
              </w:rPr>
              <w:t>Judicial training</w:t>
            </w:r>
            <w:r w:rsidRPr="00876122">
              <w:rPr>
                <w:rFonts w:eastAsia="Times New Roman"/>
                <w:color w:val="000000"/>
                <w:szCs w:val="24"/>
                <w:lang w:eastAsia="hr-HR" w:bidi="hr-HR"/>
              </w:rPr>
              <w:t xml:space="preserve"> </w:t>
            </w:r>
            <w:r w:rsidRPr="00876122">
              <w:rPr>
                <w:rFonts w:eastAsia="Times New Roman"/>
                <w:color w:val="000000"/>
                <w:szCs w:val="24"/>
                <w:lang w:eastAsia="bg-BG" w:bidi="bg-BG"/>
              </w:rPr>
              <w:t>– 07 07 02</w:t>
            </w:r>
          </w:p>
        </w:tc>
        <w:tc>
          <w:tcPr>
            <w:tcW w:w="1662" w:type="dxa"/>
            <w:tcBorders>
              <w:top w:val="single" w:sz="4" w:space="0" w:color="auto"/>
              <w:left w:val="single" w:sz="4" w:space="0" w:color="auto"/>
            </w:tcBorders>
            <w:vAlign w:val="bottom"/>
          </w:tcPr>
          <w:p w14:paraId="76A6EB95" w14:textId="17D6327A"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color w:val="000000"/>
                <w:szCs w:val="24"/>
                <w:lang w:eastAsia="bg-BG" w:bidi="bg-BG"/>
              </w:rPr>
              <w:t>€</w:t>
            </w:r>
            <w:r w:rsidR="00CC1E6C">
              <w:rPr>
                <w:rFonts w:eastAsia="Times New Roman"/>
                <w:color w:val="000000"/>
                <w:szCs w:val="24"/>
                <w:lang w:eastAsia="bg-BG" w:bidi="bg-BG"/>
              </w:rPr>
              <w:t xml:space="preserve"> </w:t>
            </w:r>
            <w:r w:rsidRPr="00876122">
              <w:rPr>
                <w:rFonts w:eastAsia="Times New Roman"/>
                <w:color w:val="000000"/>
                <w:szCs w:val="24"/>
                <w:lang w:eastAsia="bg-BG" w:bidi="bg-BG"/>
              </w:rPr>
              <w:t>15</w:t>
            </w:r>
            <w:r w:rsidR="00876122">
              <w:rPr>
                <w:rFonts w:eastAsia="Times New Roman"/>
                <w:color w:val="000000"/>
                <w:szCs w:val="24"/>
                <w:lang w:eastAsia="bg-BG" w:bidi="bg-BG"/>
              </w:rPr>
              <w:t> </w:t>
            </w:r>
            <w:r w:rsidR="00D47E2F" w:rsidRPr="00876122">
              <w:rPr>
                <w:rFonts w:eastAsia="Times New Roman"/>
                <w:color w:val="000000"/>
                <w:szCs w:val="24"/>
                <w:lang w:eastAsia="bg-BG" w:bidi="bg-BG"/>
              </w:rPr>
              <w:t>850</w:t>
            </w:r>
            <w:r w:rsidRPr="00876122">
              <w:rPr>
                <w:rFonts w:eastAsia="Times New Roman"/>
                <w:color w:val="000000"/>
                <w:szCs w:val="24"/>
                <w:lang w:eastAsia="bg-BG" w:bidi="bg-BG"/>
              </w:rPr>
              <w:t xml:space="preserve"> 770</w:t>
            </w:r>
          </w:p>
        </w:tc>
        <w:tc>
          <w:tcPr>
            <w:tcW w:w="1338" w:type="dxa"/>
            <w:tcBorders>
              <w:top w:val="single" w:sz="4" w:space="0" w:color="auto"/>
              <w:left w:val="single" w:sz="4" w:space="0" w:color="auto"/>
            </w:tcBorders>
            <w:vAlign w:val="bottom"/>
          </w:tcPr>
          <w:p w14:paraId="7CA8B966" w14:textId="2ECA1309"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3</w:t>
            </w:r>
            <w:r w:rsidR="00D47E2F" w:rsidRPr="00876122">
              <w:rPr>
                <w:rFonts w:eastAsia="Times New Roman"/>
                <w:color w:val="000000"/>
                <w:szCs w:val="24"/>
                <w:lang w:eastAsia="bg-BG" w:bidi="bg-BG"/>
              </w:rPr>
              <w:t>9</w:t>
            </w:r>
            <w:r w:rsidRPr="00876122">
              <w:rPr>
                <w:rFonts w:eastAsia="Times New Roman"/>
                <w:color w:val="000000"/>
                <w:szCs w:val="24"/>
                <w:lang w:eastAsia="bg-BG" w:bidi="bg-BG"/>
              </w:rPr>
              <w:t>%</w:t>
            </w:r>
          </w:p>
        </w:tc>
        <w:tc>
          <w:tcPr>
            <w:tcW w:w="1639" w:type="dxa"/>
            <w:tcBorders>
              <w:top w:val="single" w:sz="4" w:space="0" w:color="auto"/>
              <w:left w:val="single" w:sz="4" w:space="0" w:color="auto"/>
            </w:tcBorders>
            <w:vAlign w:val="bottom"/>
          </w:tcPr>
          <w:p w14:paraId="6FDD6B13" w14:textId="35405331"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color w:val="000000"/>
                <w:szCs w:val="24"/>
                <w:lang w:eastAsia="bg-BG" w:bidi="bg-BG"/>
              </w:rPr>
              <w:t>€</w:t>
            </w:r>
            <w:r w:rsidR="00CC1E6C">
              <w:rPr>
                <w:rFonts w:eastAsia="Times New Roman"/>
                <w:color w:val="000000"/>
                <w:szCs w:val="24"/>
                <w:lang w:eastAsia="bg-BG" w:bidi="bg-BG"/>
              </w:rPr>
              <w:t xml:space="preserve"> </w:t>
            </w:r>
            <w:r w:rsidRPr="00876122">
              <w:rPr>
                <w:rFonts w:eastAsia="Times New Roman"/>
                <w:color w:val="000000"/>
                <w:szCs w:val="24"/>
                <w:lang w:eastAsia="bg-BG" w:bidi="bg-BG"/>
              </w:rPr>
              <w:t>15</w:t>
            </w:r>
            <w:r w:rsidR="00876122">
              <w:rPr>
                <w:rFonts w:eastAsia="Times New Roman"/>
                <w:color w:val="000000"/>
                <w:szCs w:val="24"/>
                <w:lang w:eastAsia="bg-BG" w:bidi="bg-BG"/>
              </w:rPr>
              <w:t> </w:t>
            </w:r>
            <w:r w:rsidRPr="00876122">
              <w:rPr>
                <w:rFonts w:eastAsia="Times New Roman"/>
                <w:color w:val="000000"/>
                <w:szCs w:val="24"/>
                <w:lang w:eastAsia="bg-BG" w:bidi="bg-BG"/>
              </w:rPr>
              <w:t>734 550</w:t>
            </w:r>
          </w:p>
        </w:tc>
        <w:tc>
          <w:tcPr>
            <w:tcW w:w="1371" w:type="dxa"/>
            <w:tcBorders>
              <w:top w:val="single" w:sz="4" w:space="0" w:color="auto"/>
              <w:left w:val="single" w:sz="4" w:space="0" w:color="auto"/>
              <w:right w:val="single" w:sz="4" w:space="0" w:color="auto"/>
            </w:tcBorders>
            <w:vAlign w:val="bottom"/>
          </w:tcPr>
          <w:p w14:paraId="1C619CD5" w14:textId="3594A9E6"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39%</w:t>
            </w:r>
          </w:p>
        </w:tc>
      </w:tr>
      <w:tr w:rsidR="00F47FDE" w:rsidRPr="00876122" w14:paraId="770F7CEA" w14:textId="77777777" w:rsidTr="00B1619D">
        <w:trPr>
          <w:trHeight w:hRule="exact" w:val="384"/>
          <w:jc w:val="center"/>
        </w:trPr>
        <w:tc>
          <w:tcPr>
            <w:tcW w:w="3436" w:type="dxa"/>
            <w:tcBorders>
              <w:top w:val="single" w:sz="4" w:space="0" w:color="auto"/>
              <w:left w:val="single" w:sz="4" w:space="0" w:color="auto"/>
            </w:tcBorders>
            <w:vAlign w:val="bottom"/>
          </w:tcPr>
          <w:p w14:paraId="5A8358BE"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i/>
                <w:iCs/>
                <w:color w:val="000000"/>
                <w:szCs w:val="24"/>
                <w:lang w:eastAsia="hr-HR" w:bidi="hr-HR"/>
              </w:rPr>
              <w:t>Access to justice</w:t>
            </w:r>
            <w:r w:rsidRPr="00876122">
              <w:rPr>
                <w:rFonts w:eastAsia="Times New Roman"/>
                <w:color w:val="000000"/>
                <w:szCs w:val="24"/>
                <w:lang w:eastAsia="hr-HR" w:bidi="hr-HR"/>
              </w:rPr>
              <w:t xml:space="preserve"> </w:t>
            </w:r>
            <w:r w:rsidRPr="00876122">
              <w:rPr>
                <w:rFonts w:eastAsia="Times New Roman"/>
                <w:color w:val="000000"/>
                <w:szCs w:val="24"/>
                <w:lang w:eastAsia="bg-BG" w:bidi="bg-BG"/>
              </w:rPr>
              <w:t>– 07 07 03</w:t>
            </w:r>
          </w:p>
        </w:tc>
        <w:tc>
          <w:tcPr>
            <w:tcW w:w="1662" w:type="dxa"/>
            <w:tcBorders>
              <w:top w:val="single" w:sz="4" w:space="0" w:color="auto"/>
              <w:left w:val="single" w:sz="4" w:space="0" w:color="auto"/>
            </w:tcBorders>
            <w:vAlign w:val="bottom"/>
          </w:tcPr>
          <w:p w14:paraId="7BF04C35" w14:textId="069B54D8"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color w:val="000000"/>
                <w:szCs w:val="24"/>
                <w:lang w:eastAsia="bg-BG" w:bidi="bg-BG"/>
              </w:rPr>
              <w:t>€</w:t>
            </w:r>
            <w:r w:rsidR="00CC1E6C">
              <w:rPr>
                <w:rFonts w:eastAsia="Times New Roman"/>
                <w:color w:val="000000"/>
                <w:szCs w:val="24"/>
                <w:lang w:eastAsia="bg-BG" w:bidi="bg-BG"/>
              </w:rPr>
              <w:t xml:space="preserve"> </w:t>
            </w:r>
            <w:r w:rsidRPr="00876122">
              <w:rPr>
                <w:rFonts w:eastAsia="Times New Roman"/>
                <w:color w:val="000000"/>
                <w:szCs w:val="24"/>
                <w:lang w:eastAsia="bg-BG" w:bidi="bg-BG"/>
              </w:rPr>
              <w:t>13</w:t>
            </w:r>
            <w:r w:rsidR="00876122">
              <w:rPr>
                <w:rFonts w:eastAsia="Times New Roman"/>
                <w:color w:val="000000"/>
                <w:szCs w:val="24"/>
                <w:lang w:eastAsia="bg-BG" w:bidi="bg-BG"/>
              </w:rPr>
              <w:t> </w:t>
            </w:r>
            <w:r w:rsidRPr="00876122">
              <w:rPr>
                <w:rFonts w:eastAsia="Times New Roman"/>
                <w:color w:val="000000"/>
                <w:szCs w:val="24"/>
                <w:lang w:eastAsia="bg-BG" w:bidi="bg-BG"/>
              </w:rPr>
              <w:t>8</w:t>
            </w:r>
            <w:r w:rsidR="00D47E2F" w:rsidRPr="00876122">
              <w:rPr>
                <w:rFonts w:eastAsia="Times New Roman"/>
                <w:color w:val="000000"/>
                <w:szCs w:val="24"/>
                <w:lang w:eastAsia="bg-BG" w:bidi="bg-BG"/>
              </w:rPr>
              <w:t>18</w:t>
            </w:r>
            <w:r w:rsidRPr="00876122">
              <w:rPr>
                <w:rFonts w:eastAsia="Times New Roman"/>
                <w:color w:val="000000"/>
                <w:szCs w:val="24"/>
                <w:lang w:eastAsia="bg-BG" w:bidi="bg-BG"/>
              </w:rPr>
              <w:t xml:space="preserve"> </w:t>
            </w:r>
            <w:r w:rsidR="00D47E2F" w:rsidRPr="00876122">
              <w:rPr>
                <w:rFonts w:eastAsia="Times New Roman"/>
                <w:color w:val="000000"/>
                <w:szCs w:val="24"/>
                <w:lang w:eastAsia="bg-BG" w:bidi="bg-BG"/>
              </w:rPr>
              <w:t>62</w:t>
            </w:r>
            <w:r w:rsidRPr="00876122">
              <w:rPr>
                <w:rFonts w:eastAsia="Times New Roman"/>
                <w:color w:val="000000"/>
                <w:szCs w:val="24"/>
                <w:lang w:eastAsia="bg-BG" w:bidi="bg-BG"/>
              </w:rPr>
              <w:t>0</w:t>
            </w:r>
          </w:p>
        </w:tc>
        <w:tc>
          <w:tcPr>
            <w:tcW w:w="1338" w:type="dxa"/>
            <w:tcBorders>
              <w:top w:val="single" w:sz="4" w:space="0" w:color="auto"/>
              <w:left w:val="single" w:sz="4" w:space="0" w:color="auto"/>
            </w:tcBorders>
            <w:vAlign w:val="bottom"/>
          </w:tcPr>
          <w:p w14:paraId="4CA88FA1" w14:textId="34747973"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34%</w:t>
            </w:r>
          </w:p>
        </w:tc>
        <w:tc>
          <w:tcPr>
            <w:tcW w:w="1639" w:type="dxa"/>
            <w:tcBorders>
              <w:top w:val="single" w:sz="4" w:space="0" w:color="auto"/>
              <w:left w:val="single" w:sz="4" w:space="0" w:color="auto"/>
            </w:tcBorders>
            <w:vAlign w:val="bottom"/>
          </w:tcPr>
          <w:p w14:paraId="799AEF6C" w14:textId="32003F15"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color w:val="000000"/>
                <w:szCs w:val="24"/>
                <w:lang w:eastAsia="bg-BG" w:bidi="bg-BG"/>
              </w:rPr>
              <w:t>€</w:t>
            </w:r>
            <w:r w:rsidR="00CC1E6C">
              <w:rPr>
                <w:rFonts w:eastAsia="Times New Roman"/>
                <w:color w:val="000000"/>
                <w:szCs w:val="24"/>
                <w:lang w:eastAsia="bg-BG" w:bidi="bg-BG"/>
              </w:rPr>
              <w:t xml:space="preserve"> </w:t>
            </w:r>
            <w:r w:rsidRPr="00876122">
              <w:rPr>
                <w:rFonts w:eastAsia="Times New Roman"/>
                <w:color w:val="000000"/>
                <w:szCs w:val="24"/>
                <w:lang w:eastAsia="bg-BG" w:bidi="bg-BG"/>
              </w:rPr>
              <w:t>13</w:t>
            </w:r>
            <w:r w:rsidR="00876122">
              <w:rPr>
                <w:rFonts w:eastAsia="Times New Roman"/>
                <w:color w:val="000000"/>
                <w:szCs w:val="24"/>
                <w:lang w:eastAsia="bg-BG" w:bidi="bg-BG"/>
              </w:rPr>
              <w:t> </w:t>
            </w:r>
            <w:r w:rsidR="00D47E2F" w:rsidRPr="00876122">
              <w:rPr>
                <w:rFonts w:eastAsia="Times New Roman"/>
                <w:color w:val="000000"/>
                <w:szCs w:val="24"/>
                <w:lang w:eastAsia="bg-BG" w:bidi="bg-BG"/>
              </w:rPr>
              <w:t>717 300</w:t>
            </w:r>
          </w:p>
        </w:tc>
        <w:tc>
          <w:tcPr>
            <w:tcW w:w="1371" w:type="dxa"/>
            <w:tcBorders>
              <w:top w:val="single" w:sz="4" w:space="0" w:color="auto"/>
              <w:left w:val="single" w:sz="4" w:space="0" w:color="auto"/>
              <w:right w:val="single" w:sz="4" w:space="0" w:color="auto"/>
            </w:tcBorders>
            <w:vAlign w:val="bottom"/>
          </w:tcPr>
          <w:p w14:paraId="47DFFD91" w14:textId="2722064F"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3</w:t>
            </w:r>
            <w:r w:rsidR="00D47E2F" w:rsidRPr="00876122">
              <w:rPr>
                <w:rFonts w:eastAsia="Times New Roman"/>
                <w:color w:val="000000"/>
                <w:szCs w:val="24"/>
                <w:lang w:eastAsia="bg-BG" w:bidi="bg-BG"/>
              </w:rPr>
              <w:t>4</w:t>
            </w:r>
            <w:r w:rsidRPr="00876122">
              <w:rPr>
                <w:rFonts w:eastAsia="Times New Roman"/>
                <w:color w:val="000000"/>
                <w:szCs w:val="24"/>
                <w:lang w:eastAsia="bg-BG" w:bidi="bg-BG"/>
              </w:rPr>
              <w:t>%</w:t>
            </w:r>
          </w:p>
        </w:tc>
      </w:tr>
      <w:tr w:rsidR="00F47FDE" w:rsidRPr="00876122" w14:paraId="7C8137A3" w14:textId="77777777" w:rsidTr="00B1619D">
        <w:trPr>
          <w:trHeight w:hRule="exact" w:val="394"/>
          <w:jc w:val="center"/>
        </w:trPr>
        <w:tc>
          <w:tcPr>
            <w:tcW w:w="3436" w:type="dxa"/>
            <w:tcBorders>
              <w:top w:val="single" w:sz="4" w:space="0" w:color="auto"/>
              <w:left w:val="single" w:sz="4" w:space="0" w:color="auto"/>
              <w:bottom w:val="single" w:sz="4" w:space="0" w:color="auto"/>
            </w:tcBorders>
            <w:vAlign w:val="bottom"/>
          </w:tcPr>
          <w:p w14:paraId="283803A9"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hr-HR" w:bidi="hr-HR"/>
              </w:rPr>
              <w:t>TOTAL PROGRAMME</w:t>
            </w:r>
          </w:p>
        </w:tc>
        <w:tc>
          <w:tcPr>
            <w:tcW w:w="1662" w:type="dxa"/>
            <w:tcBorders>
              <w:top w:val="single" w:sz="4" w:space="0" w:color="auto"/>
              <w:left w:val="single" w:sz="4" w:space="0" w:color="auto"/>
              <w:bottom w:val="single" w:sz="4" w:space="0" w:color="auto"/>
            </w:tcBorders>
            <w:vAlign w:val="bottom"/>
          </w:tcPr>
          <w:p w14:paraId="07F13E8B" w14:textId="438CE3B3"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b/>
                <w:bCs/>
                <w:color w:val="000000"/>
                <w:szCs w:val="24"/>
                <w:lang w:eastAsia="bg-BG" w:bidi="bg-BG"/>
              </w:rPr>
              <w:t>€</w:t>
            </w:r>
            <w:r w:rsidR="00CC1E6C">
              <w:rPr>
                <w:rFonts w:eastAsia="Times New Roman"/>
                <w:b/>
                <w:bCs/>
                <w:color w:val="000000"/>
                <w:szCs w:val="24"/>
                <w:lang w:eastAsia="bg-BG" w:bidi="bg-BG"/>
              </w:rPr>
              <w:t xml:space="preserve"> </w:t>
            </w:r>
            <w:r w:rsidRPr="00876122">
              <w:rPr>
                <w:rFonts w:eastAsia="Times New Roman"/>
                <w:b/>
                <w:bCs/>
                <w:color w:val="000000"/>
                <w:szCs w:val="24"/>
                <w:lang w:eastAsia="bg-BG" w:bidi="bg-BG"/>
              </w:rPr>
              <w:t>40</w:t>
            </w:r>
            <w:r w:rsidR="00876122">
              <w:rPr>
                <w:rFonts w:eastAsia="Times New Roman"/>
                <w:b/>
                <w:bCs/>
                <w:color w:val="000000"/>
                <w:szCs w:val="24"/>
                <w:lang w:eastAsia="bg-BG" w:bidi="bg-BG"/>
              </w:rPr>
              <w:t> </w:t>
            </w:r>
            <w:r w:rsidRPr="00876122">
              <w:rPr>
                <w:rFonts w:eastAsia="Times New Roman"/>
                <w:b/>
                <w:bCs/>
                <w:color w:val="000000"/>
                <w:szCs w:val="24"/>
                <w:lang w:eastAsia="bg-BG" w:bidi="bg-BG"/>
              </w:rPr>
              <w:t>643 000</w:t>
            </w:r>
          </w:p>
        </w:tc>
        <w:tc>
          <w:tcPr>
            <w:tcW w:w="1338" w:type="dxa"/>
            <w:tcBorders>
              <w:top w:val="single" w:sz="4" w:space="0" w:color="auto"/>
              <w:left w:val="single" w:sz="4" w:space="0" w:color="auto"/>
              <w:bottom w:val="single" w:sz="4" w:space="0" w:color="auto"/>
            </w:tcBorders>
            <w:vAlign w:val="bottom"/>
          </w:tcPr>
          <w:p w14:paraId="4CF90D4C" w14:textId="5966A78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100%</w:t>
            </w:r>
          </w:p>
        </w:tc>
        <w:tc>
          <w:tcPr>
            <w:tcW w:w="1639" w:type="dxa"/>
            <w:tcBorders>
              <w:top w:val="single" w:sz="4" w:space="0" w:color="auto"/>
              <w:left w:val="single" w:sz="4" w:space="0" w:color="auto"/>
              <w:bottom w:val="single" w:sz="4" w:space="0" w:color="auto"/>
            </w:tcBorders>
            <w:vAlign w:val="bottom"/>
          </w:tcPr>
          <w:p w14:paraId="097FFC4C" w14:textId="4AF602F7" w:rsidR="00F47FDE" w:rsidRPr="00876122" w:rsidRDefault="00F47FDE" w:rsidP="00F47FDE">
            <w:pPr>
              <w:widowControl w:val="0"/>
              <w:shd w:val="clear" w:color="auto" w:fill="FFFFFF"/>
              <w:spacing w:before="0" w:after="0"/>
              <w:ind w:firstLine="160"/>
              <w:jc w:val="center"/>
              <w:rPr>
                <w:rFonts w:eastAsia="Times New Roman"/>
                <w:color w:val="000000"/>
                <w:szCs w:val="24"/>
                <w:lang w:eastAsia="hr-HR" w:bidi="hr-HR"/>
              </w:rPr>
            </w:pPr>
            <w:r w:rsidRPr="00876122">
              <w:rPr>
                <w:rFonts w:eastAsia="Times New Roman"/>
                <w:b/>
                <w:bCs/>
                <w:color w:val="000000"/>
                <w:szCs w:val="24"/>
                <w:lang w:eastAsia="bg-BG" w:bidi="bg-BG"/>
              </w:rPr>
              <w:t>€</w:t>
            </w:r>
            <w:r w:rsidR="00CC1E6C">
              <w:rPr>
                <w:rFonts w:eastAsia="Times New Roman"/>
                <w:b/>
                <w:bCs/>
                <w:color w:val="000000"/>
                <w:szCs w:val="24"/>
                <w:lang w:eastAsia="bg-BG" w:bidi="bg-BG"/>
              </w:rPr>
              <w:t xml:space="preserve"> </w:t>
            </w:r>
            <w:r w:rsidRPr="00876122">
              <w:rPr>
                <w:rFonts w:eastAsia="Times New Roman"/>
                <w:b/>
                <w:bCs/>
                <w:color w:val="000000"/>
                <w:szCs w:val="24"/>
                <w:lang w:eastAsia="bg-BG" w:bidi="bg-BG"/>
              </w:rPr>
              <w:t>40</w:t>
            </w:r>
            <w:r w:rsidR="00876122">
              <w:rPr>
                <w:rFonts w:eastAsia="Times New Roman"/>
                <w:b/>
                <w:bCs/>
                <w:color w:val="000000"/>
                <w:szCs w:val="24"/>
                <w:lang w:eastAsia="bg-BG" w:bidi="bg-BG"/>
              </w:rPr>
              <w:t> </w:t>
            </w:r>
            <w:r w:rsidRPr="00876122">
              <w:rPr>
                <w:rFonts w:eastAsia="Times New Roman"/>
                <w:b/>
                <w:bCs/>
                <w:color w:val="000000"/>
                <w:szCs w:val="24"/>
                <w:lang w:eastAsia="bg-BG" w:bidi="bg-BG"/>
              </w:rPr>
              <w:t>345 000</w:t>
            </w:r>
          </w:p>
        </w:tc>
        <w:tc>
          <w:tcPr>
            <w:tcW w:w="1371" w:type="dxa"/>
            <w:tcBorders>
              <w:top w:val="single" w:sz="4" w:space="0" w:color="auto"/>
              <w:left w:val="single" w:sz="4" w:space="0" w:color="auto"/>
              <w:bottom w:val="single" w:sz="4" w:space="0" w:color="auto"/>
              <w:right w:val="single" w:sz="4" w:space="0" w:color="auto"/>
            </w:tcBorders>
            <w:vAlign w:val="bottom"/>
          </w:tcPr>
          <w:p w14:paraId="0DFEA15D" w14:textId="7E828C65" w:rsidR="00F47FDE" w:rsidRPr="00876122" w:rsidRDefault="00FA563B" w:rsidP="00EC2721">
            <w:pPr>
              <w:widowControl w:val="0"/>
              <w:numPr>
                <w:ilvl w:val="0"/>
                <w:numId w:val="6"/>
              </w:numPr>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hr-HR" w:bidi="hr-HR"/>
              </w:rPr>
              <w:t>%</w:t>
            </w:r>
          </w:p>
        </w:tc>
      </w:tr>
    </w:tbl>
    <w:p w14:paraId="044053AA" w14:textId="77777777" w:rsidR="00F47FDE" w:rsidRPr="00876122" w:rsidRDefault="00F47FDE" w:rsidP="00F47FDE">
      <w:pPr>
        <w:widowControl w:val="0"/>
        <w:shd w:val="clear" w:color="auto" w:fill="FFFFFF"/>
        <w:spacing w:before="0" w:after="99" w:line="1" w:lineRule="exact"/>
        <w:jc w:val="center"/>
        <w:rPr>
          <w:rFonts w:eastAsia="Times New Roman"/>
          <w:color w:val="000000"/>
          <w:szCs w:val="24"/>
          <w:lang w:eastAsia="hr-HR" w:bidi="hr-HR"/>
        </w:rPr>
      </w:pPr>
    </w:p>
    <w:p w14:paraId="638B870B" w14:textId="77777777" w:rsidR="00C93195" w:rsidRDefault="00C93195" w:rsidP="00FA563B">
      <w:pPr>
        <w:widowControl w:val="0"/>
        <w:shd w:val="clear" w:color="auto" w:fill="FFFFFF"/>
        <w:spacing w:before="0" w:after="0" w:line="276" w:lineRule="auto"/>
        <w:rPr>
          <w:rFonts w:eastAsia="Times New Roman"/>
          <w:color w:val="000000"/>
          <w:szCs w:val="24"/>
          <w:lang w:eastAsia="hr-HR" w:bidi="hr-HR"/>
        </w:rPr>
      </w:pPr>
    </w:p>
    <w:p w14:paraId="32D66684" w14:textId="088B7D46" w:rsidR="00F47FDE" w:rsidRPr="00876122" w:rsidRDefault="00F47FDE" w:rsidP="00FA563B">
      <w:pPr>
        <w:widowControl w:val="0"/>
        <w:shd w:val="clear" w:color="auto" w:fill="FFFFFF"/>
        <w:spacing w:before="0" w:after="0" w:line="276" w:lineRule="auto"/>
        <w:rPr>
          <w:rFonts w:eastAsia="Times New Roman"/>
          <w:color w:val="000000"/>
          <w:szCs w:val="24"/>
          <w:lang w:eastAsia="hr-HR" w:bidi="hr-HR"/>
        </w:rPr>
      </w:pPr>
      <w:r w:rsidRPr="00876122">
        <w:rPr>
          <w:rFonts w:eastAsia="Times New Roman"/>
          <w:color w:val="000000"/>
          <w:szCs w:val="24"/>
          <w:lang w:eastAsia="hr-HR" w:bidi="hr-HR"/>
        </w:rPr>
        <w:t xml:space="preserve">The following calls for proposals for action grants are planned in </w:t>
      </w:r>
      <w:r w:rsidRPr="00876122">
        <w:rPr>
          <w:rFonts w:eastAsia="Times New Roman"/>
          <w:color w:val="000000"/>
          <w:szCs w:val="24"/>
          <w:lang w:eastAsia="bg-BG" w:bidi="bg-BG"/>
        </w:rPr>
        <w:t xml:space="preserve">2026-2027 </w:t>
      </w:r>
      <w:r w:rsidRPr="00876122">
        <w:rPr>
          <w:rFonts w:eastAsia="Times New Roman"/>
          <w:color w:val="000000"/>
          <w:szCs w:val="24"/>
          <w:lang w:eastAsia="hr-HR" w:bidi="hr-HR"/>
        </w:rPr>
        <w:t>to support primarily transnational projects in:</w:t>
      </w:r>
    </w:p>
    <w:p w14:paraId="6627B3E9" w14:textId="77777777" w:rsidR="00F47FDE" w:rsidRPr="00876122" w:rsidRDefault="00F47FDE" w:rsidP="002954D9">
      <w:pPr>
        <w:pStyle w:val="ListParagraph"/>
        <w:widowControl w:val="0"/>
        <w:numPr>
          <w:ilvl w:val="0"/>
          <w:numId w:val="35"/>
        </w:numPr>
        <w:shd w:val="clear" w:color="auto" w:fill="FFFFFF"/>
        <w:spacing w:before="0" w:after="0" w:line="276" w:lineRule="auto"/>
        <w:jc w:val="left"/>
        <w:rPr>
          <w:rFonts w:eastAsia="Times New Roman"/>
          <w:color w:val="000000"/>
          <w:szCs w:val="24"/>
          <w:lang w:eastAsia="hr-HR" w:bidi="hr-HR"/>
        </w:rPr>
      </w:pPr>
      <w:r w:rsidRPr="00876122">
        <w:rPr>
          <w:rFonts w:eastAsia="Times New Roman"/>
          <w:color w:val="000000"/>
          <w:szCs w:val="24"/>
          <w:lang w:eastAsia="hr-HR" w:bidi="hr-HR"/>
        </w:rPr>
        <w:t xml:space="preserve">Judicial cooperation in civil and criminal matters </w:t>
      </w:r>
      <w:bookmarkStart w:id="15" w:name="_Hlk191554099"/>
      <w:r w:rsidRPr="00876122">
        <w:rPr>
          <w:rFonts w:eastAsia="Times New Roman"/>
          <w:color w:val="000000"/>
          <w:szCs w:val="24"/>
          <w:lang w:eastAsia="hr-HR" w:bidi="hr-HR"/>
        </w:rPr>
        <w:t xml:space="preserve">(in </w:t>
      </w:r>
      <w:r w:rsidRPr="00876122">
        <w:rPr>
          <w:rFonts w:eastAsia="Times New Roman"/>
          <w:color w:val="000000"/>
          <w:szCs w:val="24"/>
          <w:lang w:eastAsia="bg-BG" w:bidi="bg-BG"/>
        </w:rPr>
        <w:t xml:space="preserve">2026 </w:t>
      </w:r>
      <w:r w:rsidRPr="00876122">
        <w:rPr>
          <w:rFonts w:eastAsia="Times New Roman"/>
          <w:color w:val="000000"/>
          <w:szCs w:val="24"/>
          <w:lang w:eastAsia="hr-HR" w:bidi="hr-HR"/>
        </w:rPr>
        <w:t xml:space="preserve">and </w:t>
      </w:r>
      <w:r w:rsidRPr="00876122">
        <w:rPr>
          <w:rFonts w:eastAsia="Times New Roman"/>
          <w:color w:val="000000"/>
          <w:szCs w:val="24"/>
          <w:lang w:eastAsia="bg-BG" w:bidi="bg-BG"/>
        </w:rPr>
        <w:t>2027</w:t>
      </w:r>
      <w:proofErr w:type="gramStart"/>
      <w:r w:rsidRPr="00876122">
        <w:rPr>
          <w:rFonts w:eastAsia="Times New Roman"/>
          <w:color w:val="000000"/>
          <w:szCs w:val="24"/>
          <w:lang w:eastAsia="bg-BG" w:bidi="bg-BG"/>
        </w:rPr>
        <w:t>)</w:t>
      </w:r>
      <w:bookmarkEnd w:id="15"/>
      <w:r w:rsidRPr="00876122">
        <w:rPr>
          <w:rFonts w:eastAsia="Times New Roman"/>
          <w:color w:val="000000"/>
          <w:szCs w:val="24"/>
          <w:lang w:eastAsia="hr-HR" w:bidi="hr-HR"/>
        </w:rPr>
        <w:t>;</w:t>
      </w:r>
      <w:proofErr w:type="gramEnd"/>
    </w:p>
    <w:p w14:paraId="1C2DE94F" w14:textId="77777777" w:rsidR="00F47FDE" w:rsidRPr="00876122" w:rsidRDefault="00F47FDE" w:rsidP="002954D9">
      <w:pPr>
        <w:pStyle w:val="ListParagraph"/>
        <w:widowControl w:val="0"/>
        <w:numPr>
          <w:ilvl w:val="0"/>
          <w:numId w:val="35"/>
        </w:numPr>
        <w:shd w:val="clear" w:color="auto" w:fill="FFFFFF"/>
        <w:spacing w:before="0" w:after="0" w:line="276" w:lineRule="auto"/>
        <w:jc w:val="left"/>
        <w:rPr>
          <w:rFonts w:eastAsia="Times New Roman"/>
          <w:color w:val="000000"/>
          <w:szCs w:val="24"/>
          <w:lang w:eastAsia="hr-HR" w:bidi="hr-HR"/>
        </w:rPr>
      </w:pPr>
      <w:r w:rsidRPr="00876122">
        <w:rPr>
          <w:rFonts w:eastAsia="Times New Roman"/>
          <w:color w:val="000000"/>
          <w:szCs w:val="24"/>
          <w:lang w:eastAsia="hr-HR" w:bidi="hr-HR"/>
        </w:rPr>
        <w:t xml:space="preserve">Judicial training covering civil law, criminal law and fundamental rights (in </w:t>
      </w:r>
      <w:r w:rsidRPr="00876122">
        <w:rPr>
          <w:rFonts w:eastAsia="Times New Roman"/>
          <w:color w:val="000000"/>
          <w:szCs w:val="24"/>
          <w:lang w:eastAsia="hr-HR" w:bidi="bg-BG"/>
        </w:rPr>
        <w:t>202</w:t>
      </w:r>
      <w:r w:rsidRPr="00876122">
        <w:rPr>
          <w:rFonts w:eastAsia="Times New Roman"/>
          <w:color w:val="000000"/>
          <w:szCs w:val="24"/>
          <w:lang w:eastAsia="hr-HR" w:bidi="hr-HR"/>
        </w:rPr>
        <w:t>6</w:t>
      </w:r>
      <w:r w:rsidRPr="00876122">
        <w:rPr>
          <w:rFonts w:eastAsia="Times New Roman"/>
          <w:color w:val="000000"/>
          <w:szCs w:val="24"/>
          <w:lang w:eastAsia="hr-HR" w:bidi="bg-BG"/>
        </w:rPr>
        <w:t xml:space="preserve"> </w:t>
      </w:r>
      <w:r w:rsidRPr="00876122">
        <w:rPr>
          <w:rFonts w:eastAsia="Times New Roman"/>
          <w:color w:val="000000"/>
          <w:szCs w:val="24"/>
          <w:lang w:eastAsia="hr-HR" w:bidi="hr-HR"/>
        </w:rPr>
        <w:t xml:space="preserve">and </w:t>
      </w:r>
      <w:r w:rsidRPr="00876122">
        <w:rPr>
          <w:rFonts w:eastAsia="Times New Roman"/>
          <w:color w:val="000000"/>
          <w:szCs w:val="24"/>
          <w:lang w:eastAsia="hr-HR" w:bidi="bg-BG"/>
        </w:rPr>
        <w:t>202</w:t>
      </w:r>
      <w:r w:rsidRPr="00876122">
        <w:rPr>
          <w:rFonts w:eastAsia="Times New Roman"/>
          <w:color w:val="000000"/>
          <w:szCs w:val="24"/>
          <w:lang w:eastAsia="hr-HR" w:bidi="hr-HR"/>
        </w:rPr>
        <w:t>7</w:t>
      </w:r>
      <w:proofErr w:type="gramStart"/>
      <w:r w:rsidRPr="00876122">
        <w:rPr>
          <w:rFonts w:eastAsia="Times New Roman"/>
          <w:color w:val="000000"/>
          <w:szCs w:val="24"/>
          <w:lang w:eastAsia="hr-HR" w:bidi="bg-BG"/>
        </w:rPr>
        <w:t>)</w:t>
      </w:r>
      <w:r w:rsidRPr="00876122">
        <w:rPr>
          <w:rFonts w:eastAsia="Times New Roman"/>
          <w:color w:val="000000"/>
          <w:szCs w:val="24"/>
          <w:lang w:eastAsia="hr-HR" w:bidi="hr-HR"/>
        </w:rPr>
        <w:t>;</w:t>
      </w:r>
      <w:proofErr w:type="gramEnd"/>
    </w:p>
    <w:p w14:paraId="285C3240" w14:textId="77777777" w:rsidR="00F47FDE" w:rsidRPr="00876122" w:rsidRDefault="00F47FDE" w:rsidP="00F30FC3">
      <w:pPr>
        <w:pStyle w:val="ListParagraph"/>
        <w:widowControl w:val="0"/>
        <w:numPr>
          <w:ilvl w:val="0"/>
          <w:numId w:val="35"/>
        </w:numPr>
        <w:shd w:val="clear" w:color="auto" w:fill="FFFFFF"/>
        <w:spacing w:before="0" w:line="276" w:lineRule="auto"/>
        <w:ind w:left="714" w:hanging="357"/>
        <w:jc w:val="left"/>
        <w:rPr>
          <w:rFonts w:eastAsia="Times New Roman"/>
          <w:color w:val="000000"/>
          <w:szCs w:val="24"/>
          <w:lang w:eastAsia="hr-HR" w:bidi="hr-HR"/>
        </w:rPr>
      </w:pPr>
      <w:r w:rsidRPr="00876122">
        <w:rPr>
          <w:rFonts w:eastAsia="Times New Roman"/>
          <w:color w:val="000000"/>
          <w:szCs w:val="24"/>
          <w:lang w:eastAsia="hr-HR" w:bidi="hr-HR"/>
        </w:rPr>
        <w:t>e-Justice, victims’ rights and procedural rights of persons suspected or accused of crime (in 2027).</w:t>
      </w:r>
    </w:p>
    <w:p w14:paraId="74007DB7" w14:textId="5C63661D"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Financial support will continue to be provided to </w:t>
      </w:r>
      <w:r w:rsidR="00725496">
        <w:rPr>
          <w:rFonts w:eastAsia="Times New Roman"/>
          <w:color w:val="000000"/>
          <w:szCs w:val="24"/>
          <w:lang w:eastAsia="hr-HR" w:bidi="hr-HR"/>
        </w:rPr>
        <w:t xml:space="preserve">the </w:t>
      </w:r>
      <w:r w:rsidRPr="00876122">
        <w:rPr>
          <w:rFonts w:eastAsia="Times New Roman"/>
          <w:color w:val="000000"/>
          <w:szCs w:val="24"/>
          <w:lang w:eastAsia="hr-HR" w:bidi="hr-HR"/>
        </w:rPr>
        <w:t xml:space="preserve">European networks </w:t>
      </w:r>
      <w:r w:rsidR="005957A4">
        <w:rPr>
          <w:rFonts w:eastAsia="Times New Roman"/>
          <w:color w:val="000000"/>
          <w:szCs w:val="24"/>
          <w:lang w:eastAsia="hr-HR" w:bidi="hr-HR"/>
        </w:rPr>
        <w:t xml:space="preserve">that were </w:t>
      </w:r>
      <w:r w:rsidR="00F9352D" w:rsidRPr="00876122">
        <w:rPr>
          <w:rFonts w:eastAsia="Times New Roman"/>
          <w:color w:val="000000"/>
          <w:szCs w:val="24"/>
          <w:lang w:eastAsia="hr-HR" w:bidi="hr-HR"/>
        </w:rPr>
        <w:t xml:space="preserve">selected in </w:t>
      </w:r>
      <w:r w:rsidR="00F9352D" w:rsidRPr="00876122">
        <w:rPr>
          <w:rFonts w:eastAsia="Times New Roman"/>
          <w:color w:val="000000"/>
          <w:szCs w:val="24"/>
          <w:lang w:eastAsia="bg-BG" w:bidi="bg-BG"/>
        </w:rPr>
        <w:t>2025</w:t>
      </w:r>
      <w:r w:rsidR="00F9352D">
        <w:rPr>
          <w:rFonts w:eastAsia="Times New Roman"/>
          <w:color w:val="000000"/>
          <w:szCs w:val="24"/>
          <w:lang w:eastAsia="bg-BG" w:bidi="bg-BG"/>
        </w:rPr>
        <w:t xml:space="preserve"> </w:t>
      </w:r>
      <w:r w:rsidRPr="00876122">
        <w:rPr>
          <w:rFonts w:eastAsia="Times New Roman"/>
          <w:color w:val="000000"/>
          <w:szCs w:val="24"/>
          <w:lang w:eastAsia="hr-HR" w:bidi="hr-HR"/>
        </w:rPr>
        <w:t>in the area</w:t>
      </w:r>
      <w:r w:rsidR="007B4567">
        <w:rPr>
          <w:rFonts w:eastAsia="Times New Roman"/>
          <w:color w:val="000000"/>
          <w:szCs w:val="24"/>
          <w:lang w:eastAsia="hr-HR" w:bidi="hr-HR"/>
        </w:rPr>
        <w:t>s</w:t>
      </w:r>
      <w:r w:rsidRPr="00876122">
        <w:rPr>
          <w:rFonts w:eastAsia="Times New Roman"/>
          <w:color w:val="000000"/>
          <w:szCs w:val="24"/>
          <w:lang w:eastAsia="hr-HR" w:bidi="hr-HR"/>
        </w:rPr>
        <w:t xml:space="preserve"> of access to justice and judicial cooperation in civil and criminal matters </w:t>
      </w:r>
      <w:r w:rsidR="00103C24">
        <w:rPr>
          <w:rFonts w:eastAsia="Times New Roman"/>
          <w:color w:val="000000"/>
          <w:szCs w:val="24"/>
          <w:lang w:eastAsia="hr-HR" w:bidi="hr-HR"/>
        </w:rPr>
        <w:t xml:space="preserve">and </w:t>
      </w:r>
      <w:r w:rsidRPr="00876122">
        <w:rPr>
          <w:rFonts w:eastAsia="Times New Roman"/>
          <w:color w:val="000000"/>
          <w:szCs w:val="24"/>
          <w:lang w:eastAsia="hr-HR" w:bidi="hr-HR"/>
        </w:rPr>
        <w:t>to the E</w:t>
      </w:r>
      <w:r w:rsidR="00ED306F">
        <w:rPr>
          <w:rFonts w:eastAsia="Times New Roman"/>
          <w:color w:val="000000"/>
          <w:szCs w:val="24"/>
          <w:lang w:eastAsia="hr-HR" w:bidi="hr-HR"/>
        </w:rPr>
        <w:t>JTN</w:t>
      </w:r>
      <w:r w:rsidRPr="00876122">
        <w:rPr>
          <w:rFonts w:eastAsia="Times New Roman"/>
          <w:color w:val="000000"/>
          <w:szCs w:val="24"/>
          <w:lang w:eastAsia="hr-HR" w:bidi="hr-HR"/>
        </w:rPr>
        <w:t xml:space="preserve">. Their work programmes will be funded </w:t>
      </w:r>
      <w:r w:rsidR="00B47A8E">
        <w:rPr>
          <w:rFonts w:eastAsia="Times New Roman"/>
          <w:color w:val="000000"/>
          <w:szCs w:val="24"/>
          <w:lang w:eastAsia="hr-HR" w:bidi="hr-HR"/>
        </w:rPr>
        <w:t>through</w:t>
      </w:r>
      <w:r w:rsidRPr="00876122">
        <w:rPr>
          <w:rFonts w:eastAsia="Times New Roman"/>
          <w:color w:val="000000"/>
          <w:szCs w:val="24"/>
          <w:lang w:eastAsia="hr-HR" w:bidi="hr-HR"/>
        </w:rPr>
        <w:t xml:space="preserve"> operating grants.</w:t>
      </w:r>
    </w:p>
    <w:p w14:paraId="51E3C5B9" w14:textId="4DE244E4"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This work programme also plans to continue supporting the annual contribution to the Council of Europe’s work on the EU Justice Scoreboard</w:t>
      </w:r>
      <w:r w:rsidR="00D434FC" w:rsidRPr="00876122">
        <w:rPr>
          <w:rFonts w:eastAsia="Times New Roman"/>
          <w:color w:val="000000"/>
          <w:szCs w:val="24"/>
          <w:lang w:eastAsia="hr-HR" w:bidi="hr-HR"/>
        </w:rPr>
        <w:t xml:space="preserve"> </w:t>
      </w:r>
      <w:r w:rsidRPr="00876122">
        <w:rPr>
          <w:rFonts w:eastAsia="Times New Roman"/>
          <w:color w:val="000000"/>
          <w:szCs w:val="24"/>
          <w:lang w:eastAsia="hr-HR" w:bidi="hr-HR"/>
        </w:rPr>
        <w:t>and the EU network of prison monitoring bodies, as well as</w:t>
      </w:r>
      <w:r w:rsidR="00F36872">
        <w:rPr>
          <w:rFonts w:eastAsia="Times New Roman"/>
          <w:color w:val="000000"/>
          <w:szCs w:val="24"/>
          <w:lang w:eastAsia="hr-HR" w:bidi="hr-HR"/>
        </w:rPr>
        <w:t xml:space="preserve">, in 2026, the phase II of the </w:t>
      </w:r>
      <w:r w:rsidR="00F36872" w:rsidRPr="00876122">
        <w:rPr>
          <w:rFonts w:eastAsia="Times New Roman"/>
          <w:lang w:eastAsia="hr-HR" w:bidi="hr-HR"/>
        </w:rPr>
        <w:t>project on child-friendly justice</w:t>
      </w:r>
      <w:r w:rsidR="00F36872" w:rsidRPr="00C051E4">
        <w:rPr>
          <w:rFonts w:eastAsia="Times New Roman"/>
          <w:lang w:eastAsia="hr-HR" w:bidi="hr-HR"/>
        </w:rPr>
        <w:t xml:space="preserve">. </w:t>
      </w:r>
      <w:proofErr w:type="gramStart"/>
      <w:r w:rsidR="00F36872" w:rsidRPr="00C051E4">
        <w:rPr>
          <w:rFonts w:eastAsia="Times New Roman"/>
          <w:color w:val="000000"/>
          <w:szCs w:val="24"/>
          <w:lang w:eastAsia="hr-HR" w:bidi="hr-HR"/>
        </w:rPr>
        <w:t>Also</w:t>
      </w:r>
      <w:proofErr w:type="gramEnd"/>
      <w:r w:rsidR="00F36872" w:rsidRPr="00C051E4">
        <w:rPr>
          <w:rFonts w:eastAsia="Times New Roman"/>
          <w:color w:val="000000"/>
          <w:szCs w:val="24"/>
          <w:lang w:eastAsia="hr-HR" w:bidi="hr-HR"/>
        </w:rPr>
        <w:t xml:space="preserve"> the support for </w:t>
      </w:r>
      <w:r w:rsidRPr="00C051E4">
        <w:rPr>
          <w:rFonts w:eastAsia="Times New Roman"/>
          <w:color w:val="000000"/>
          <w:szCs w:val="24"/>
          <w:lang w:eastAsia="hr-HR" w:bidi="hr-HR"/>
        </w:rPr>
        <w:t>the annual EU membership fee in the Hague Conference of Private International Law</w:t>
      </w:r>
      <w:r w:rsidR="00F36872" w:rsidRPr="00C051E4">
        <w:rPr>
          <w:rFonts w:eastAsia="Times New Roman"/>
          <w:color w:val="000000"/>
          <w:szCs w:val="24"/>
          <w:lang w:eastAsia="hr-HR" w:bidi="hr-HR"/>
        </w:rPr>
        <w:t xml:space="preserve"> will continue</w:t>
      </w:r>
      <w:r w:rsidRPr="00C051E4">
        <w:rPr>
          <w:rFonts w:eastAsia="Times New Roman"/>
          <w:color w:val="000000"/>
          <w:szCs w:val="24"/>
          <w:lang w:eastAsia="hr-HR" w:bidi="hr-HR"/>
        </w:rPr>
        <w:t>.</w:t>
      </w:r>
      <w:r w:rsidR="001A384C">
        <w:rPr>
          <w:rFonts w:eastAsia="Times New Roman"/>
          <w:color w:val="000000"/>
          <w:szCs w:val="24"/>
          <w:lang w:eastAsia="hr-HR" w:bidi="hr-HR"/>
        </w:rPr>
        <w:t xml:space="preserve"> </w:t>
      </w:r>
    </w:p>
    <w:p w14:paraId="6E7A2B4E" w14:textId="37FA4786"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The lump-sum system continues to apply for all calls for proposals, except those </w:t>
      </w:r>
      <w:r w:rsidR="00C65F47">
        <w:rPr>
          <w:rFonts w:eastAsia="Times New Roman"/>
          <w:color w:val="000000"/>
          <w:szCs w:val="24"/>
          <w:lang w:eastAsia="hr-HR" w:bidi="hr-HR"/>
        </w:rPr>
        <w:t>concerning</w:t>
      </w:r>
      <w:r w:rsidR="00C65F47" w:rsidRPr="00876122">
        <w:rPr>
          <w:rFonts w:eastAsia="Times New Roman"/>
          <w:color w:val="000000"/>
          <w:szCs w:val="24"/>
          <w:lang w:eastAsia="hr-HR" w:bidi="hr-HR"/>
        </w:rPr>
        <w:t xml:space="preserve"> </w:t>
      </w:r>
      <w:r w:rsidRPr="00876122">
        <w:rPr>
          <w:rFonts w:eastAsia="Times New Roman"/>
          <w:color w:val="000000"/>
          <w:szCs w:val="24"/>
          <w:lang w:eastAsia="hr-HR" w:bidi="hr-HR"/>
        </w:rPr>
        <w:t>operating grants.</w:t>
      </w:r>
    </w:p>
    <w:p w14:paraId="5FDC389C"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p w14:paraId="1E749A75"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p w14:paraId="7A562F8D"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p w14:paraId="576B2523"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p w14:paraId="447CA5BA"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p w14:paraId="5832A7B0" w14:textId="77777777" w:rsidR="00F47FDE" w:rsidRPr="00876122" w:rsidRDefault="00F47FDE" w:rsidP="00F47FDE">
      <w:pPr>
        <w:widowControl w:val="0"/>
        <w:shd w:val="clear" w:color="auto" w:fill="FFFFFF"/>
        <w:spacing w:before="0" w:after="100"/>
        <w:rPr>
          <w:rFonts w:eastAsia="Times New Roman"/>
          <w:color w:val="000000"/>
          <w:szCs w:val="24"/>
          <w:lang w:eastAsia="hr-HR" w:bidi="hr-HR"/>
        </w:rPr>
      </w:pPr>
    </w:p>
    <w:tbl>
      <w:tblPr>
        <w:tblOverlap w:val="never"/>
        <w:tblW w:w="8803" w:type="dxa"/>
        <w:jc w:val="center"/>
        <w:tblLayout w:type="fixed"/>
        <w:tblCellMar>
          <w:left w:w="10" w:type="dxa"/>
          <w:right w:w="10" w:type="dxa"/>
        </w:tblCellMar>
        <w:tblLook w:val="04A0" w:firstRow="1" w:lastRow="0" w:firstColumn="1" w:lastColumn="0" w:noHBand="0" w:noVBand="1"/>
      </w:tblPr>
      <w:tblGrid>
        <w:gridCol w:w="2496"/>
        <w:gridCol w:w="1584"/>
        <w:gridCol w:w="1392"/>
        <w:gridCol w:w="1752"/>
        <w:gridCol w:w="1579"/>
      </w:tblGrid>
      <w:tr w:rsidR="00FA563B" w:rsidRPr="00876122" w14:paraId="308324D4" w14:textId="77777777" w:rsidTr="00FA563B">
        <w:trPr>
          <w:trHeight w:hRule="exact" w:val="542"/>
          <w:jc w:val="center"/>
        </w:trPr>
        <w:tc>
          <w:tcPr>
            <w:tcW w:w="2496" w:type="dxa"/>
            <w:tcBorders>
              <w:top w:val="single" w:sz="4" w:space="0" w:color="auto"/>
              <w:left w:val="single" w:sz="4" w:space="0" w:color="auto"/>
            </w:tcBorders>
            <w:shd w:val="clear" w:color="auto" w:fill="E8E8E8"/>
            <w:vAlign w:val="center"/>
          </w:tcPr>
          <w:p w14:paraId="2A57F051" w14:textId="77777777"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hr-HR" w:bidi="hr-HR"/>
              </w:rPr>
              <w:t>Funding</w:t>
            </w:r>
          </w:p>
        </w:tc>
        <w:tc>
          <w:tcPr>
            <w:tcW w:w="1584" w:type="dxa"/>
            <w:tcBorders>
              <w:top w:val="single" w:sz="4" w:space="0" w:color="auto"/>
              <w:left w:val="single" w:sz="4" w:space="0" w:color="auto"/>
            </w:tcBorders>
            <w:shd w:val="clear" w:color="auto" w:fill="E8E8E8"/>
            <w:vAlign w:val="center"/>
          </w:tcPr>
          <w:p w14:paraId="5EB7F711" w14:textId="5C0DDCA0" w:rsidR="00FA563B" w:rsidRPr="00876122" w:rsidRDefault="00FA563B" w:rsidP="00FA563B">
            <w:pPr>
              <w:widowControl w:val="0"/>
              <w:shd w:val="clear" w:color="auto" w:fill="FFFFFF"/>
              <w:spacing w:before="0" w:after="0"/>
              <w:ind w:right="80"/>
              <w:jc w:val="right"/>
              <w:rPr>
                <w:rFonts w:eastAsia="Times New Roman"/>
                <w:b/>
                <w:bCs/>
                <w:color w:val="000000"/>
                <w:szCs w:val="24"/>
                <w:lang w:eastAsia="hr-HR" w:bidi="hr-HR"/>
              </w:rPr>
            </w:pPr>
            <w:r w:rsidRPr="00876122">
              <w:rPr>
                <w:rFonts w:eastAsia="Times New Roman"/>
                <w:b/>
                <w:bCs/>
                <w:color w:val="000000"/>
                <w:szCs w:val="24"/>
                <w:lang w:eastAsia="bg-BG" w:bidi="bg-BG"/>
              </w:rPr>
              <w:t>2026 (€)</w:t>
            </w:r>
          </w:p>
        </w:tc>
        <w:tc>
          <w:tcPr>
            <w:tcW w:w="1392" w:type="dxa"/>
            <w:tcBorders>
              <w:top w:val="single" w:sz="4" w:space="0" w:color="auto"/>
              <w:left w:val="single" w:sz="4" w:space="0" w:color="auto"/>
            </w:tcBorders>
            <w:shd w:val="clear" w:color="auto" w:fill="E8E8E8"/>
            <w:vAlign w:val="center"/>
          </w:tcPr>
          <w:p w14:paraId="6292CB48" w14:textId="4410F561"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hr-HR" w:bidi="hr-HR"/>
              </w:rPr>
              <w:t>Allocation</w:t>
            </w:r>
          </w:p>
        </w:tc>
        <w:tc>
          <w:tcPr>
            <w:tcW w:w="1752" w:type="dxa"/>
            <w:tcBorders>
              <w:top w:val="single" w:sz="4" w:space="0" w:color="auto"/>
              <w:left w:val="single" w:sz="4" w:space="0" w:color="auto"/>
            </w:tcBorders>
            <w:shd w:val="clear" w:color="auto" w:fill="E8E8E8"/>
            <w:vAlign w:val="center"/>
          </w:tcPr>
          <w:p w14:paraId="348D6AB7" w14:textId="77777777" w:rsidR="00FA563B" w:rsidRPr="00876122" w:rsidRDefault="00FA563B" w:rsidP="00FA563B">
            <w:pPr>
              <w:widowControl w:val="0"/>
              <w:shd w:val="clear" w:color="auto" w:fill="FFFFFF"/>
              <w:spacing w:before="0" w:after="0"/>
              <w:ind w:right="80" w:firstLine="460"/>
              <w:jc w:val="center"/>
              <w:rPr>
                <w:rFonts w:eastAsia="Times New Roman"/>
                <w:color w:val="000000"/>
                <w:szCs w:val="24"/>
                <w:lang w:eastAsia="hr-HR" w:bidi="hr-HR"/>
              </w:rPr>
            </w:pPr>
            <w:r w:rsidRPr="00876122">
              <w:rPr>
                <w:rFonts w:eastAsia="Times New Roman"/>
                <w:b/>
                <w:bCs/>
                <w:color w:val="000000"/>
                <w:szCs w:val="24"/>
                <w:lang w:eastAsia="bg-BG" w:bidi="bg-BG"/>
              </w:rPr>
              <w:t>2027 (€)</w:t>
            </w:r>
          </w:p>
        </w:tc>
        <w:tc>
          <w:tcPr>
            <w:tcW w:w="1579" w:type="dxa"/>
            <w:tcBorders>
              <w:top w:val="single" w:sz="4" w:space="0" w:color="auto"/>
              <w:left w:val="single" w:sz="4" w:space="0" w:color="auto"/>
              <w:right w:val="single" w:sz="4" w:space="0" w:color="auto"/>
            </w:tcBorders>
            <w:shd w:val="clear" w:color="auto" w:fill="E8E8E8"/>
            <w:vAlign w:val="center"/>
          </w:tcPr>
          <w:p w14:paraId="3043B4FD" w14:textId="77777777"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hr-HR" w:bidi="hr-HR"/>
              </w:rPr>
              <w:t>Allocation</w:t>
            </w:r>
          </w:p>
        </w:tc>
      </w:tr>
      <w:tr w:rsidR="00FA563B" w:rsidRPr="00876122" w14:paraId="5F84BAF9" w14:textId="77777777" w:rsidTr="00FA563B">
        <w:trPr>
          <w:trHeight w:hRule="exact" w:val="538"/>
          <w:jc w:val="center"/>
        </w:trPr>
        <w:tc>
          <w:tcPr>
            <w:tcW w:w="2496" w:type="dxa"/>
            <w:tcBorders>
              <w:top w:val="single" w:sz="4" w:space="0" w:color="auto"/>
              <w:left w:val="single" w:sz="4" w:space="0" w:color="auto"/>
            </w:tcBorders>
            <w:vAlign w:val="center"/>
          </w:tcPr>
          <w:p w14:paraId="3228A777" w14:textId="77777777" w:rsidR="00FA563B" w:rsidRPr="00876122" w:rsidRDefault="00FA563B" w:rsidP="00FA563B">
            <w:pPr>
              <w:widowControl w:val="0"/>
              <w:shd w:val="clear" w:color="auto" w:fill="FFFFFF"/>
              <w:spacing w:before="0" w:after="0"/>
              <w:jc w:val="center"/>
              <w:rPr>
                <w:rFonts w:eastAsia="Times New Roman"/>
                <w:b/>
                <w:bCs/>
                <w:color w:val="000000"/>
                <w:szCs w:val="24"/>
                <w:lang w:eastAsia="hr-HR" w:bidi="hr-HR"/>
              </w:rPr>
            </w:pPr>
            <w:r w:rsidRPr="00876122">
              <w:rPr>
                <w:rFonts w:eastAsia="Times New Roman"/>
                <w:b/>
                <w:bCs/>
                <w:color w:val="000000"/>
                <w:szCs w:val="24"/>
                <w:lang w:eastAsia="hr-HR" w:bidi="hr-HR"/>
              </w:rPr>
              <w:t>Grants</w:t>
            </w:r>
          </w:p>
        </w:tc>
        <w:tc>
          <w:tcPr>
            <w:tcW w:w="1584" w:type="dxa"/>
            <w:tcBorders>
              <w:top w:val="single" w:sz="4" w:space="0" w:color="auto"/>
              <w:left w:val="single" w:sz="4" w:space="0" w:color="auto"/>
            </w:tcBorders>
            <w:vAlign w:val="center"/>
          </w:tcPr>
          <w:p w14:paraId="32B4DB32" w14:textId="647C9E76" w:rsidR="00FA563B" w:rsidRPr="00876122" w:rsidRDefault="00D77521" w:rsidP="00FA563B">
            <w:pPr>
              <w:widowControl w:val="0"/>
              <w:shd w:val="clear" w:color="auto" w:fill="FFFFFF"/>
              <w:spacing w:before="0" w:after="0"/>
              <w:ind w:right="80"/>
              <w:jc w:val="right"/>
              <w:rPr>
                <w:rFonts w:eastAsia="Times New Roman"/>
                <w:color w:val="000000"/>
                <w:szCs w:val="24"/>
                <w:lang w:eastAsia="bg-BG" w:bidi="bg-BG"/>
              </w:rPr>
            </w:pPr>
            <w:r w:rsidRPr="00876122">
              <w:rPr>
                <w:rFonts w:eastAsia="Times New Roman"/>
                <w:color w:val="000000"/>
                <w:szCs w:val="24"/>
                <w:lang w:eastAsia="bg-BG" w:bidi="bg-BG"/>
              </w:rPr>
              <w:t>31</w:t>
            </w:r>
            <w:r w:rsidR="00876122">
              <w:rPr>
                <w:rFonts w:eastAsia="Times New Roman"/>
                <w:color w:val="000000"/>
                <w:szCs w:val="24"/>
                <w:lang w:eastAsia="bg-BG" w:bidi="bg-BG"/>
              </w:rPr>
              <w:t> </w:t>
            </w:r>
            <w:r w:rsidRPr="00876122">
              <w:rPr>
                <w:rFonts w:eastAsia="Times New Roman"/>
                <w:color w:val="000000"/>
                <w:szCs w:val="24"/>
                <w:lang w:eastAsia="bg-BG" w:bidi="bg-BG"/>
              </w:rPr>
              <w:t>450</w:t>
            </w:r>
            <w:r w:rsidR="00FA563B" w:rsidRPr="00876122">
              <w:rPr>
                <w:rFonts w:eastAsia="Times New Roman"/>
                <w:color w:val="000000"/>
                <w:szCs w:val="24"/>
                <w:lang w:eastAsia="bg-BG" w:bidi="bg-BG"/>
              </w:rPr>
              <w:t xml:space="preserve"> 000</w:t>
            </w:r>
          </w:p>
        </w:tc>
        <w:tc>
          <w:tcPr>
            <w:tcW w:w="1392" w:type="dxa"/>
            <w:tcBorders>
              <w:top w:val="single" w:sz="4" w:space="0" w:color="auto"/>
              <w:left w:val="single" w:sz="4" w:space="0" w:color="auto"/>
            </w:tcBorders>
            <w:vAlign w:val="center"/>
          </w:tcPr>
          <w:p w14:paraId="026ACA72" w14:textId="5AE74121"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7</w:t>
            </w:r>
            <w:r w:rsidR="00D77521" w:rsidRPr="00876122">
              <w:rPr>
                <w:rFonts w:eastAsia="Times New Roman"/>
                <w:color w:val="000000"/>
                <w:szCs w:val="24"/>
                <w:lang w:eastAsia="bg-BG" w:bidi="bg-BG"/>
              </w:rPr>
              <w:t>7.3</w:t>
            </w:r>
            <w:r w:rsidRPr="00876122">
              <w:rPr>
                <w:rFonts w:eastAsia="Times New Roman"/>
                <w:color w:val="000000"/>
                <w:szCs w:val="24"/>
                <w:lang w:eastAsia="bg-BG" w:bidi="bg-BG"/>
              </w:rPr>
              <w:t>8%</w:t>
            </w:r>
          </w:p>
        </w:tc>
        <w:tc>
          <w:tcPr>
            <w:tcW w:w="1752" w:type="dxa"/>
            <w:tcBorders>
              <w:top w:val="single" w:sz="4" w:space="0" w:color="auto"/>
              <w:left w:val="single" w:sz="4" w:space="0" w:color="auto"/>
            </w:tcBorders>
            <w:vAlign w:val="center"/>
          </w:tcPr>
          <w:p w14:paraId="55E5330E" w14:textId="0285CD41" w:rsidR="00FA563B" w:rsidRPr="00876122" w:rsidRDefault="00D77521"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31</w:t>
            </w:r>
            <w:r w:rsidR="00876122">
              <w:rPr>
                <w:rFonts w:eastAsia="Times New Roman"/>
                <w:color w:val="000000"/>
                <w:szCs w:val="24"/>
                <w:lang w:eastAsia="bg-BG" w:bidi="bg-BG"/>
              </w:rPr>
              <w:t> </w:t>
            </w:r>
            <w:r w:rsidRPr="00876122">
              <w:rPr>
                <w:rFonts w:eastAsia="Times New Roman"/>
                <w:color w:val="000000"/>
                <w:szCs w:val="24"/>
                <w:lang w:eastAsia="bg-BG" w:bidi="bg-BG"/>
              </w:rPr>
              <w:t>225</w:t>
            </w:r>
            <w:r w:rsidR="00FA563B" w:rsidRPr="00876122">
              <w:rPr>
                <w:rFonts w:eastAsia="Times New Roman"/>
                <w:color w:val="000000"/>
                <w:szCs w:val="24"/>
                <w:lang w:eastAsia="bg-BG" w:bidi="bg-BG"/>
              </w:rPr>
              <w:t xml:space="preserve"> 000</w:t>
            </w:r>
          </w:p>
        </w:tc>
        <w:tc>
          <w:tcPr>
            <w:tcW w:w="1579" w:type="dxa"/>
            <w:tcBorders>
              <w:top w:val="single" w:sz="4" w:space="0" w:color="auto"/>
              <w:left w:val="single" w:sz="4" w:space="0" w:color="auto"/>
              <w:right w:val="single" w:sz="4" w:space="0" w:color="auto"/>
            </w:tcBorders>
            <w:vAlign w:val="center"/>
          </w:tcPr>
          <w:p w14:paraId="54E49068" w14:textId="37F35F60" w:rsidR="00FA563B" w:rsidRPr="00876122" w:rsidRDefault="00FA563B" w:rsidP="00FA563B">
            <w:pPr>
              <w:widowControl w:val="0"/>
              <w:shd w:val="clear" w:color="auto" w:fill="FFFFFF"/>
              <w:spacing w:before="0" w:after="0"/>
              <w:jc w:val="center"/>
              <w:rPr>
                <w:rFonts w:eastAsia="Times New Roman"/>
                <w:szCs w:val="24"/>
                <w:lang w:eastAsia="hr-HR" w:bidi="hr-HR"/>
              </w:rPr>
            </w:pPr>
            <w:r w:rsidRPr="00876122">
              <w:rPr>
                <w:rFonts w:eastAsia="Times New Roman"/>
                <w:szCs w:val="24"/>
                <w:lang w:eastAsia="bg-BG" w:bidi="bg-BG"/>
              </w:rPr>
              <w:t>7</w:t>
            </w:r>
            <w:r w:rsidR="00D77521" w:rsidRPr="00876122">
              <w:rPr>
                <w:rFonts w:eastAsia="Times New Roman"/>
                <w:szCs w:val="24"/>
                <w:lang w:eastAsia="bg-BG" w:bidi="bg-BG"/>
              </w:rPr>
              <w:t>7</w:t>
            </w:r>
            <w:r w:rsidRPr="00876122">
              <w:rPr>
                <w:rFonts w:eastAsia="Times New Roman"/>
                <w:szCs w:val="24"/>
                <w:lang w:eastAsia="bg-BG" w:bidi="bg-BG"/>
              </w:rPr>
              <w:t>.</w:t>
            </w:r>
            <w:r w:rsidR="00D77521" w:rsidRPr="00876122">
              <w:rPr>
                <w:rFonts w:eastAsia="Times New Roman"/>
                <w:szCs w:val="24"/>
                <w:lang w:eastAsia="bg-BG" w:bidi="bg-BG"/>
              </w:rPr>
              <w:t>4</w:t>
            </w:r>
            <w:r w:rsidRPr="00876122">
              <w:rPr>
                <w:rFonts w:eastAsia="Times New Roman"/>
                <w:szCs w:val="24"/>
                <w:lang w:eastAsia="bg-BG" w:bidi="bg-BG"/>
              </w:rPr>
              <w:t>%</w:t>
            </w:r>
          </w:p>
        </w:tc>
      </w:tr>
      <w:tr w:rsidR="00FA563B" w:rsidRPr="00876122" w14:paraId="0C806D23" w14:textId="77777777" w:rsidTr="00FA563B">
        <w:trPr>
          <w:trHeight w:hRule="exact" w:val="523"/>
          <w:jc w:val="center"/>
        </w:trPr>
        <w:tc>
          <w:tcPr>
            <w:tcW w:w="2496" w:type="dxa"/>
            <w:tcBorders>
              <w:top w:val="single" w:sz="4" w:space="0" w:color="auto"/>
              <w:left w:val="single" w:sz="4" w:space="0" w:color="auto"/>
            </w:tcBorders>
            <w:vAlign w:val="center"/>
          </w:tcPr>
          <w:p w14:paraId="0205D075" w14:textId="77777777" w:rsidR="00FA563B" w:rsidRPr="00876122" w:rsidRDefault="00FA563B" w:rsidP="00FA563B">
            <w:pPr>
              <w:widowControl w:val="0"/>
              <w:shd w:val="clear" w:color="auto" w:fill="FFFFFF"/>
              <w:spacing w:before="0" w:after="0"/>
              <w:jc w:val="center"/>
              <w:rPr>
                <w:rFonts w:eastAsia="Times New Roman"/>
                <w:b/>
                <w:bCs/>
                <w:color w:val="000000"/>
                <w:szCs w:val="24"/>
                <w:lang w:eastAsia="hr-HR" w:bidi="hr-HR"/>
              </w:rPr>
            </w:pPr>
            <w:r w:rsidRPr="00876122">
              <w:rPr>
                <w:rFonts w:eastAsia="Times New Roman"/>
                <w:b/>
                <w:bCs/>
                <w:color w:val="000000"/>
                <w:szCs w:val="24"/>
                <w:lang w:eastAsia="hr-HR" w:bidi="hr-HR"/>
              </w:rPr>
              <w:t>Procurement</w:t>
            </w:r>
          </w:p>
        </w:tc>
        <w:tc>
          <w:tcPr>
            <w:tcW w:w="1584" w:type="dxa"/>
            <w:tcBorders>
              <w:top w:val="single" w:sz="4" w:space="0" w:color="auto"/>
              <w:left w:val="single" w:sz="4" w:space="0" w:color="auto"/>
            </w:tcBorders>
            <w:vAlign w:val="center"/>
          </w:tcPr>
          <w:p w14:paraId="2CDA54F5" w14:textId="2B431C87" w:rsidR="00FA563B" w:rsidRPr="00876122" w:rsidRDefault="00D77521" w:rsidP="00FA563B">
            <w:pPr>
              <w:widowControl w:val="0"/>
              <w:shd w:val="clear" w:color="auto" w:fill="FFFFFF"/>
              <w:spacing w:before="0" w:after="0"/>
              <w:ind w:right="80"/>
              <w:jc w:val="right"/>
              <w:rPr>
                <w:rFonts w:eastAsia="Times New Roman"/>
                <w:color w:val="000000"/>
                <w:szCs w:val="24"/>
                <w:lang w:eastAsia="bg-BG" w:bidi="bg-BG"/>
              </w:rPr>
            </w:pPr>
            <w:r w:rsidRPr="00876122">
              <w:rPr>
                <w:rFonts w:eastAsia="Times New Roman"/>
                <w:color w:val="000000"/>
                <w:szCs w:val="24"/>
                <w:lang w:eastAsia="bg-BG" w:bidi="bg-BG"/>
              </w:rPr>
              <w:t>8</w:t>
            </w:r>
            <w:r w:rsidR="00876122">
              <w:rPr>
                <w:rFonts w:eastAsia="Times New Roman"/>
                <w:color w:val="000000"/>
                <w:szCs w:val="24"/>
                <w:lang w:eastAsia="bg-BG" w:bidi="bg-BG"/>
              </w:rPr>
              <w:t> </w:t>
            </w:r>
            <w:r w:rsidRPr="00876122">
              <w:rPr>
                <w:rFonts w:eastAsia="Times New Roman"/>
                <w:color w:val="000000"/>
                <w:szCs w:val="24"/>
                <w:lang w:eastAsia="bg-BG" w:bidi="bg-BG"/>
              </w:rPr>
              <w:t>261</w:t>
            </w:r>
            <w:r w:rsidR="00FA563B" w:rsidRPr="00876122">
              <w:rPr>
                <w:rFonts w:eastAsia="Times New Roman"/>
                <w:color w:val="000000"/>
                <w:szCs w:val="24"/>
                <w:lang w:eastAsia="bg-BG" w:bidi="bg-BG"/>
              </w:rPr>
              <w:t xml:space="preserve"> 500</w:t>
            </w:r>
          </w:p>
        </w:tc>
        <w:tc>
          <w:tcPr>
            <w:tcW w:w="1392" w:type="dxa"/>
            <w:tcBorders>
              <w:top w:val="single" w:sz="4" w:space="0" w:color="auto"/>
              <w:left w:val="single" w:sz="4" w:space="0" w:color="auto"/>
            </w:tcBorders>
            <w:vAlign w:val="center"/>
          </w:tcPr>
          <w:p w14:paraId="010AC524" w14:textId="09FBE494"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2</w:t>
            </w:r>
            <w:r w:rsidR="00D77521" w:rsidRPr="00876122">
              <w:rPr>
                <w:rFonts w:eastAsia="Times New Roman"/>
                <w:color w:val="000000"/>
                <w:szCs w:val="24"/>
                <w:lang w:eastAsia="bg-BG" w:bidi="bg-BG"/>
              </w:rPr>
              <w:t>0</w:t>
            </w:r>
            <w:r w:rsidRPr="00876122">
              <w:rPr>
                <w:rFonts w:eastAsia="Times New Roman"/>
                <w:color w:val="000000"/>
                <w:szCs w:val="24"/>
                <w:lang w:eastAsia="bg-BG" w:bidi="bg-BG"/>
              </w:rPr>
              <w:t>.</w:t>
            </w:r>
            <w:r w:rsidR="00D77521" w:rsidRPr="00876122">
              <w:rPr>
                <w:rFonts w:eastAsia="Times New Roman"/>
                <w:color w:val="000000"/>
                <w:szCs w:val="24"/>
                <w:lang w:eastAsia="bg-BG" w:bidi="bg-BG"/>
              </w:rPr>
              <w:t>3</w:t>
            </w:r>
            <w:r w:rsidRPr="00876122">
              <w:rPr>
                <w:rFonts w:eastAsia="Times New Roman"/>
                <w:color w:val="000000"/>
                <w:szCs w:val="24"/>
                <w:lang w:eastAsia="bg-BG" w:bidi="bg-BG"/>
              </w:rPr>
              <w:t>3%</w:t>
            </w:r>
          </w:p>
        </w:tc>
        <w:tc>
          <w:tcPr>
            <w:tcW w:w="1752" w:type="dxa"/>
            <w:tcBorders>
              <w:top w:val="single" w:sz="4" w:space="0" w:color="auto"/>
              <w:left w:val="single" w:sz="4" w:space="0" w:color="auto"/>
            </w:tcBorders>
            <w:vAlign w:val="center"/>
          </w:tcPr>
          <w:p w14:paraId="1539A6A2" w14:textId="6B8FAAD1" w:rsidR="00FA563B" w:rsidRPr="00876122" w:rsidRDefault="00D77521"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8</w:t>
            </w:r>
            <w:r w:rsidR="00876122">
              <w:rPr>
                <w:rFonts w:eastAsia="Times New Roman"/>
                <w:color w:val="000000"/>
                <w:szCs w:val="24"/>
                <w:lang w:eastAsia="bg-BG" w:bidi="bg-BG"/>
              </w:rPr>
              <w:t> </w:t>
            </w:r>
            <w:r w:rsidRPr="00876122">
              <w:rPr>
                <w:rFonts w:eastAsia="Times New Roman"/>
                <w:color w:val="000000"/>
                <w:szCs w:val="24"/>
                <w:lang w:eastAsia="bg-BG" w:bidi="bg-BG"/>
              </w:rPr>
              <w:t>618</w:t>
            </w:r>
            <w:r w:rsidR="00FA563B" w:rsidRPr="00876122">
              <w:rPr>
                <w:rFonts w:eastAsia="Times New Roman"/>
                <w:color w:val="000000"/>
                <w:szCs w:val="24"/>
                <w:lang w:eastAsia="bg-BG" w:bidi="bg-BG"/>
              </w:rPr>
              <w:t xml:space="preserve"> 500</w:t>
            </w:r>
          </w:p>
        </w:tc>
        <w:tc>
          <w:tcPr>
            <w:tcW w:w="1579" w:type="dxa"/>
            <w:tcBorders>
              <w:top w:val="single" w:sz="4" w:space="0" w:color="auto"/>
              <w:left w:val="single" w:sz="4" w:space="0" w:color="auto"/>
              <w:right w:val="single" w:sz="4" w:space="0" w:color="auto"/>
            </w:tcBorders>
            <w:vAlign w:val="center"/>
          </w:tcPr>
          <w:p w14:paraId="5FBA634D" w14:textId="67CB8AFB" w:rsidR="00FA563B" w:rsidRPr="00876122" w:rsidRDefault="00FA563B" w:rsidP="00FA563B">
            <w:pPr>
              <w:widowControl w:val="0"/>
              <w:shd w:val="clear" w:color="auto" w:fill="FFFFFF"/>
              <w:spacing w:before="0" w:after="0"/>
              <w:jc w:val="center"/>
              <w:rPr>
                <w:rFonts w:eastAsia="Times New Roman"/>
                <w:szCs w:val="24"/>
                <w:lang w:eastAsia="hr-HR" w:bidi="hr-HR"/>
              </w:rPr>
            </w:pPr>
            <w:r w:rsidRPr="00876122">
              <w:rPr>
                <w:rFonts w:eastAsia="Times New Roman"/>
                <w:szCs w:val="24"/>
                <w:lang w:eastAsia="bg-BG" w:bidi="bg-BG"/>
              </w:rPr>
              <w:t>2</w:t>
            </w:r>
            <w:r w:rsidR="00D77521" w:rsidRPr="00876122">
              <w:rPr>
                <w:rFonts w:eastAsia="Times New Roman"/>
                <w:szCs w:val="24"/>
                <w:lang w:eastAsia="bg-BG" w:bidi="bg-BG"/>
              </w:rPr>
              <w:t>1</w:t>
            </w:r>
            <w:r w:rsidRPr="00876122">
              <w:rPr>
                <w:rFonts w:eastAsia="Times New Roman"/>
                <w:szCs w:val="24"/>
                <w:lang w:eastAsia="bg-BG" w:bidi="bg-BG"/>
              </w:rPr>
              <w:t>.</w:t>
            </w:r>
            <w:r w:rsidR="00D77521" w:rsidRPr="00876122">
              <w:rPr>
                <w:rFonts w:eastAsia="Times New Roman"/>
                <w:szCs w:val="24"/>
                <w:lang w:eastAsia="bg-BG" w:bidi="bg-BG"/>
              </w:rPr>
              <w:t>36</w:t>
            </w:r>
            <w:r w:rsidRPr="00876122">
              <w:rPr>
                <w:rFonts w:eastAsia="Times New Roman"/>
                <w:szCs w:val="24"/>
                <w:lang w:eastAsia="bg-BG" w:bidi="bg-BG"/>
              </w:rPr>
              <w:t>%</w:t>
            </w:r>
          </w:p>
        </w:tc>
      </w:tr>
      <w:tr w:rsidR="00FA563B" w:rsidRPr="00876122" w14:paraId="05534AE0" w14:textId="77777777" w:rsidTr="00FA563B">
        <w:trPr>
          <w:trHeight w:hRule="exact" w:val="528"/>
          <w:jc w:val="center"/>
        </w:trPr>
        <w:tc>
          <w:tcPr>
            <w:tcW w:w="2496" w:type="dxa"/>
            <w:tcBorders>
              <w:top w:val="single" w:sz="4" w:space="0" w:color="auto"/>
              <w:left w:val="single" w:sz="4" w:space="0" w:color="auto"/>
            </w:tcBorders>
            <w:vAlign w:val="center"/>
          </w:tcPr>
          <w:p w14:paraId="35E77F94" w14:textId="77777777" w:rsidR="00FA563B" w:rsidRPr="00876122" w:rsidRDefault="00FA563B" w:rsidP="00FA563B">
            <w:pPr>
              <w:widowControl w:val="0"/>
              <w:shd w:val="clear" w:color="auto" w:fill="FFFFFF"/>
              <w:spacing w:before="0" w:after="0"/>
              <w:jc w:val="center"/>
              <w:rPr>
                <w:rFonts w:eastAsia="Times New Roman"/>
                <w:b/>
                <w:bCs/>
                <w:color w:val="000000"/>
                <w:szCs w:val="24"/>
                <w:lang w:eastAsia="hr-HR" w:bidi="hr-HR"/>
              </w:rPr>
            </w:pPr>
            <w:r w:rsidRPr="00876122">
              <w:rPr>
                <w:rFonts w:eastAsia="Times New Roman"/>
                <w:b/>
                <w:bCs/>
                <w:color w:val="000000"/>
                <w:szCs w:val="24"/>
                <w:lang w:eastAsia="hr-HR" w:bidi="hr-HR"/>
              </w:rPr>
              <w:t>Indirect management</w:t>
            </w:r>
          </w:p>
        </w:tc>
        <w:tc>
          <w:tcPr>
            <w:tcW w:w="1584" w:type="dxa"/>
            <w:tcBorders>
              <w:top w:val="single" w:sz="4" w:space="0" w:color="auto"/>
              <w:left w:val="single" w:sz="4" w:space="0" w:color="auto"/>
            </w:tcBorders>
            <w:vAlign w:val="center"/>
          </w:tcPr>
          <w:p w14:paraId="67D9985A" w14:textId="0EFE6C0B" w:rsidR="00FA563B" w:rsidRPr="00876122" w:rsidRDefault="00FA563B" w:rsidP="00FA563B">
            <w:pPr>
              <w:widowControl w:val="0"/>
              <w:shd w:val="clear" w:color="auto" w:fill="FFFFFF"/>
              <w:spacing w:before="0" w:after="0"/>
              <w:ind w:right="80"/>
              <w:jc w:val="right"/>
              <w:rPr>
                <w:rFonts w:eastAsia="Times New Roman"/>
                <w:color w:val="000000"/>
                <w:szCs w:val="24"/>
                <w:lang w:eastAsia="bg-BG" w:bidi="bg-BG"/>
              </w:rPr>
            </w:pPr>
            <w:r w:rsidRPr="00876122">
              <w:rPr>
                <w:rFonts w:eastAsia="Times New Roman"/>
                <w:color w:val="000000"/>
                <w:szCs w:val="24"/>
                <w:lang w:eastAsia="bg-BG" w:bidi="bg-BG"/>
              </w:rPr>
              <w:t>890</w:t>
            </w:r>
            <w:r w:rsidR="00876122">
              <w:rPr>
                <w:rFonts w:eastAsia="Times New Roman"/>
                <w:color w:val="000000"/>
                <w:szCs w:val="24"/>
                <w:lang w:eastAsia="bg-BG" w:bidi="bg-BG"/>
              </w:rPr>
              <w:t> </w:t>
            </w:r>
            <w:r w:rsidRPr="00876122">
              <w:rPr>
                <w:rFonts w:eastAsia="Times New Roman"/>
                <w:color w:val="000000"/>
                <w:szCs w:val="24"/>
                <w:lang w:eastAsia="bg-BG" w:bidi="bg-BG"/>
              </w:rPr>
              <w:t>000</w:t>
            </w:r>
          </w:p>
        </w:tc>
        <w:tc>
          <w:tcPr>
            <w:tcW w:w="1392" w:type="dxa"/>
            <w:tcBorders>
              <w:top w:val="single" w:sz="4" w:space="0" w:color="auto"/>
              <w:left w:val="single" w:sz="4" w:space="0" w:color="auto"/>
            </w:tcBorders>
            <w:vAlign w:val="center"/>
          </w:tcPr>
          <w:p w14:paraId="2450E64C" w14:textId="1BDCB49F"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2.19%</w:t>
            </w:r>
          </w:p>
        </w:tc>
        <w:tc>
          <w:tcPr>
            <w:tcW w:w="1752" w:type="dxa"/>
            <w:tcBorders>
              <w:top w:val="single" w:sz="4" w:space="0" w:color="auto"/>
              <w:left w:val="single" w:sz="4" w:space="0" w:color="auto"/>
            </w:tcBorders>
            <w:vAlign w:val="center"/>
          </w:tcPr>
          <w:p w14:paraId="4E9FAC21" w14:textId="36A9F360" w:rsidR="00FA563B" w:rsidRPr="00876122" w:rsidRDefault="00FA563B"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460</w:t>
            </w:r>
            <w:r w:rsidR="00876122">
              <w:rPr>
                <w:rFonts w:eastAsia="Times New Roman"/>
                <w:color w:val="000000"/>
                <w:szCs w:val="24"/>
                <w:lang w:eastAsia="bg-BG" w:bidi="bg-BG"/>
              </w:rPr>
              <w:t> </w:t>
            </w:r>
            <w:r w:rsidRPr="00876122">
              <w:rPr>
                <w:rFonts w:eastAsia="Times New Roman"/>
                <w:color w:val="000000"/>
                <w:szCs w:val="24"/>
                <w:lang w:eastAsia="bg-BG" w:bidi="bg-BG"/>
              </w:rPr>
              <w:t>000</w:t>
            </w:r>
          </w:p>
        </w:tc>
        <w:tc>
          <w:tcPr>
            <w:tcW w:w="1579" w:type="dxa"/>
            <w:tcBorders>
              <w:top w:val="single" w:sz="4" w:space="0" w:color="auto"/>
              <w:left w:val="single" w:sz="4" w:space="0" w:color="auto"/>
              <w:right w:val="single" w:sz="4" w:space="0" w:color="auto"/>
            </w:tcBorders>
            <w:vAlign w:val="center"/>
          </w:tcPr>
          <w:p w14:paraId="5E9B4281" w14:textId="77777777" w:rsidR="00FA563B" w:rsidRPr="00876122" w:rsidRDefault="00FA563B" w:rsidP="00FA563B">
            <w:pPr>
              <w:widowControl w:val="0"/>
              <w:shd w:val="clear" w:color="auto" w:fill="FFFFFF"/>
              <w:spacing w:before="0" w:after="0"/>
              <w:jc w:val="center"/>
              <w:rPr>
                <w:rFonts w:eastAsia="Times New Roman"/>
                <w:szCs w:val="24"/>
                <w:lang w:eastAsia="hr-HR" w:bidi="hr-HR"/>
              </w:rPr>
            </w:pPr>
            <w:r w:rsidRPr="00876122">
              <w:rPr>
                <w:rFonts w:eastAsia="Times New Roman"/>
                <w:szCs w:val="24"/>
                <w:lang w:eastAsia="bg-BG" w:bidi="bg-BG"/>
              </w:rPr>
              <w:t>1.14%</w:t>
            </w:r>
          </w:p>
        </w:tc>
      </w:tr>
      <w:tr w:rsidR="00FA563B" w:rsidRPr="00876122" w14:paraId="147E8842" w14:textId="77777777" w:rsidTr="00FA563B">
        <w:trPr>
          <w:trHeight w:hRule="exact" w:val="523"/>
          <w:jc w:val="center"/>
        </w:trPr>
        <w:tc>
          <w:tcPr>
            <w:tcW w:w="2496" w:type="dxa"/>
            <w:tcBorders>
              <w:top w:val="single" w:sz="4" w:space="0" w:color="auto"/>
              <w:left w:val="single" w:sz="4" w:space="0" w:color="auto"/>
            </w:tcBorders>
            <w:vAlign w:val="center"/>
          </w:tcPr>
          <w:p w14:paraId="676C1816" w14:textId="77777777" w:rsidR="00FA563B" w:rsidRPr="00876122" w:rsidRDefault="00FA563B" w:rsidP="00FA563B">
            <w:pPr>
              <w:widowControl w:val="0"/>
              <w:shd w:val="clear" w:color="auto" w:fill="FFFFFF"/>
              <w:spacing w:before="0" w:after="0"/>
              <w:jc w:val="center"/>
              <w:rPr>
                <w:rFonts w:eastAsia="Times New Roman"/>
                <w:b/>
                <w:bCs/>
                <w:color w:val="000000"/>
                <w:szCs w:val="24"/>
                <w:lang w:eastAsia="hr-HR" w:bidi="hr-HR"/>
              </w:rPr>
            </w:pPr>
            <w:r w:rsidRPr="00876122">
              <w:rPr>
                <w:rFonts w:eastAsia="Times New Roman"/>
                <w:b/>
                <w:bCs/>
                <w:color w:val="000000"/>
                <w:szCs w:val="24"/>
                <w:lang w:eastAsia="hr-HR" w:bidi="hr-HR"/>
              </w:rPr>
              <w:t>Other expenditures</w:t>
            </w:r>
          </w:p>
        </w:tc>
        <w:tc>
          <w:tcPr>
            <w:tcW w:w="1584" w:type="dxa"/>
            <w:tcBorders>
              <w:top w:val="single" w:sz="4" w:space="0" w:color="auto"/>
              <w:left w:val="single" w:sz="4" w:space="0" w:color="auto"/>
            </w:tcBorders>
            <w:vAlign w:val="center"/>
          </w:tcPr>
          <w:p w14:paraId="73E8AB0B" w14:textId="39A45F55" w:rsidR="00FA563B" w:rsidRPr="00876122" w:rsidRDefault="00FA563B" w:rsidP="00FA563B">
            <w:pPr>
              <w:widowControl w:val="0"/>
              <w:shd w:val="clear" w:color="auto" w:fill="FFFFFF"/>
              <w:spacing w:before="0" w:after="0"/>
              <w:ind w:right="80"/>
              <w:jc w:val="right"/>
              <w:rPr>
                <w:rFonts w:eastAsia="Times New Roman"/>
                <w:color w:val="000000"/>
                <w:szCs w:val="24"/>
                <w:lang w:eastAsia="bg-BG" w:bidi="bg-BG"/>
              </w:rPr>
            </w:pPr>
            <w:r w:rsidRPr="00876122">
              <w:rPr>
                <w:rFonts w:eastAsia="Times New Roman"/>
                <w:color w:val="000000"/>
                <w:szCs w:val="24"/>
                <w:lang w:eastAsia="bg-BG" w:bidi="bg-BG"/>
              </w:rPr>
              <w:t>41</w:t>
            </w:r>
            <w:r w:rsidR="00876122">
              <w:rPr>
                <w:rFonts w:eastAsia="Times New Roman"/>
                <w:color w:val="000000"/>
                <w:szCs w:val="24"/>
                <w:lang w:eastAsia="bg-BG" w:bidi="bg-BG"/>
              </w:rPr>
              <w:t> </w:t>
            </w:r>
            <w:r w:rsidRPr="00876122">
              <w:rPr>
                <w:rFonts w:eastAsia="Times New Roman"/>
                <w:color w:val="000000"/>
                <w:szCs w:val="24"/>
                <w:lang w:eastAsia="bg-BG" w:bidi="bg-BG"/>
              </w:rPr>
              <w:t>500</w:t>
            </w:r>
          </w:p>
        </w:tc>
        <w:tc>
          <w:tcPr>
            <w:tcW w:w="1392" w:type="dxa"/>
            <w:tcBorders>
              <w:top w:val="single" w:sz="4" w:space="0" w:color="auto"/>
              <w:left w:val="single" w:sz="4" w:space="0" w:color="auto"/>
            </w:tcBorders>
            <w:vAlign w:val="center"/>
          </w:tcPr>
          <w:p w14:paraId="44E48394" w14:textId="0297BD8F"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0.10%</w:t>
            </w:r>
          </w:p>
        </w:tc>
        <w:tc>
          <w:tcPr>
            <w:tcW w:w="1752" w:type="dxa"/>
            <w:tcBorders>
              <w:top w:val="single" w:sz="4" w:space="0" w:color="auto"/>
              <w:left w:val="single" w:sz="4" w:space="0" w:color="auto"/>
            </w:tcBorders>
            <w:vAlign w:val="center"/>
          </w:tcPr>
          <w:p w14:paraId="0D9895EB" w14:textId="22ABEF7D" w:rsidR="00FA563B" w:rsidRPr="00876122" w:rsidRDefault="00FA563B"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41</w:t>
            </w:r>
            <w:r w:rsidR="00876122">
              <w:rPr>
                <w:rFonts w:eastAsia="Times New Roman"/>
                <w:color w:val="000000"/>
                <w:szCs w:val="24"/>
                <w:lang w:eastAsia="bg-BG" w:bidi="bg-BG"/>
              </w:rPr>
              <w:t> </w:t>
            </w:r>
            <w:r w:rsidRPr="00876122">
              <w:rPr>
                <w:rFonts w:eastAsia="Times New Roman"/>
                <w:color w:val="000000"/>
                <w:szCs w:val="24"/>
                <w:lang w:eastAsia="bg-BG" w:bidi="bg-BG"/>
              </w:rPr>
              <w:t>500</w:t>
            </w:r>
          </w:p>
        </w:tc>
        <w:tc>
          <w:tcPr>
            <w:tcW w:w="1579" w:type="dxa"/>
            <w:tcBorders>
              <w:top w:val="single" w:sz="4" w:space="0" w:color="auto"/>
              <w:left w:val="single" w:sz="4" w:space="0" w:color="auto"/>
              <w:right w:val="single" w:sz="4" w:space="0" w:color="auto"/>
            </w:tcBorders>
            <w:vAlign w:val="center"/>
          </w:tcPr>
          <w:p w14:paraId="31BC00FC" w14:textId="77777777" w:rsidR="00FA563B" w:rsidRPr="00876122" w:rsidRDefault="00FA563B" w:rsidP="00FA563B">
            <w:pPr>
              <w:widowControl w:val="0"/>
              <w:shd w:val="clear" w:color="auto" w:fill="FFFFFF"/>
              <w:spacing w:before="0" w:after="0"/>
              <w:jc w:val="center"/>
              <w:rPr>
                <w:rFonts w:eastAsia="Times New Roman"/>
                <w:szCs w:val="24"/>
                <w:lang w:eastAsia="hr-HR" w:bidi="hr-HR"/>
              </w:rPr>
            </w:pPr>
            <w:r w:rsidRPr="00876122">
              <w:rPr>
                <w:rFonts w:eastAsia="Times New Roman"/>
                <w:szCs w:val="24"/>
                <w:lang w:eastAsia="bg-BG" w:bidi="bg-BG"/>
              </w:rPr>
              <w:t>0.10%</w:t>
            </w:r>
          </w:p>
        </w:tc>
      </w:tr>
      <w:tr w:rsidR="00FA563B" w:rsidRPr="00876122" w14:paraId="1FA42B5C" w14:textId="77777777" w:rsidTr="00FA563B">
        <w:trPr>
          <w:trHeight w:hRule="exact" w:val="538"/>
          <w:jc w:val="center"/>
        </w:trPr>
        <w:tc>
          <w:tcPr>
            <w:tcW w:w="2496" w:type="dxa"/>
            <w:tcBorders>
              <w:top w:val="single" w:sz="4" w:space="0" w:color="auto"/>
              <w:left w:val="single" w:sz="4" w:space="0" w:color="auto"/>
              <w:bottom w:val="single" w:sz="4" w:space="0" w:color="auto"/>
            </w:tcBorders>
            <w:vAlign w:val="center"/>
          </w:tcPr>
          <w:p w14:paraId="553E151B" w14:textId="77777777" w:rsidR="00FA563B" w:rsidRPr="00876122" w:rsidRDefault="00FA563B" w:rsidP="00FA563B">
            <w:pPr>
              <w:widowControl w:val="0"/>
              <w:shd w:val="clear" w:color="auto" w:fill="FFFFFF"/>
              <w:spacing w:before="0" w:after="0"/>
              <w:jc w:val="center"/>
              <w:rPr>
                <w:rFonts w:eastAsia="Times New Roman"/>
                <w:b/>
                <w:bCs/>
                <w:color w:val="000000"/>
                <w:szCs w:val="24"/>
                <w:lang w:eastAsia="hr-HR" w:bidi="hr-HR"/>
              </w:rPr>
            </w:pPr>
            <w:r w:rsidRPr="00876122">
              <w:rPr>
                <w:rFonts w:eastAsia="Times New Roman"/>
                <w:b/>
                <w:bCs/>
                <w:color w:val="000000"/>
                <w:szCs w:val="24"/>
                <w:lang w:eastAsia="hr-HR" w:bidi="hr-HR"/>
              </w:rPr>
              <w:t>Total</w:t>
            </w:r>
          </w:p>
        </w:tc>
        <w:tc>
          <w:tcPr>
            <w:tcW w:w="1584" w:type="dxa"/>
            <w:tcBorders>
              <w:top w:val="single" w:sz="4" w:space="0" w:color="auto"/>
              <w:left w:val="single" w:sz="4" w:space="0" w:color="auto"/>
              <w:bottom w:val="single" w:sz="4" w:space="0" w:color="auto"/>
            </w:tcBorders>
            <w:vAlign w:val="center"/>
          </w:tcPr>
          <w:p w14:paraId="7526B33E" w14:textId="3230A4C5" w:rsidR="00FA563B" w:rsidRPr="00876122" w:rsidRDefault="00FA563B" w:rsidP="00FA563B">
            <w:pPr>
              <w:widowControl w:val="0"/>
              <w:shd w:val="clear" w:color="auto" w:fill="FFFFFF"/>
              <w:spacing w:before="0" w:after="0"/>
              <w:ind w:right="80"/>
              <w:jc w:val="right"/>
              <w:rPr>
                <w:rFonts w:eastAsia="Times New Roman"/>
                <w:color w:val="000000"/>
                <w:szCs w:val="24"/>
                <w:lang w:eastAsia="bg-BG" w:bidi="bg-BG"/>
              </w:rPr>
            </w:pPr>
            <w:r w:rsidRPr="00876122">
              <w:rPr>
                <w:rFonts w:eastAsia="Times New Roman"/>
                <w:b/>
                <w:bCs/>
                <w:color w:val="000000"/>
                <w:szCs w:val="24"/>
                <w:lang w:eastAsia="bg-BG" w:bidi="bg-BG"/>
              </w:rPr>
              <w:t>40</w:t>
            </w:r>
            <w:r w:rsidR="00876122">
              <w:rPr>
                <w:rFonts w:eastAsia="Times New Roman"/>
                <w:b/>
                <w:bCs/>
                <w:color w:val="000000"/>
                <w:szCs w:val="24"/>
                <w:lang w:eastAsia="bg-BG" w:bidi="bg-BG"/>
              </w:rPr>
              <w:t> </w:t>
            </w:r>
            <w:r w:rsidRPr="00876122">
              <w:rPr>
                <w:rFonts w:eastAsia="Times New Roman"/>
                <w:b/>
                <w:bCs/>
                <w:color w:val="000000"/>
                <w:szCs w:val="24"/>
                <w:lang w:eastAsia="bg-BG" w:bidi="bg-BG"/>
              </w:rPr>
              <w:t>643 000</w:t>
            </w:r>
          </w:p>
        </w:tc>
        <w:tc>
          <w:tcPr>
            <w:tcW w:w="1392" w:type="dxa"/>
            <w:tcBorders>
              <w:top w:val="single" w:sz="4" w:space="0" w:color="auto"/>
              <w:left w:val="single" w:sz="4" w:space="0" w:color="auto"/>
              <w:bottom w:val="single" w:sz="4" w:space="0" w:color="auto"/>
            </w:tcBorders>
            <w:vAlign w:val="center"/>
          </w:tcPr>
          <w:p w14:paraId="62244D5A" w14:textId="181BA009"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100%</w:t>
            </w:r>
          </w:p>
        </w:tc>
        <w:tc>
          <w:tcPr>
            <w:tcW w:w="1752" w:type="dxa"/>
            <w:tcBorders>
              <w:top w:val="single" w:sz="4" w:space="0" w:color="auto"/>
              <w:left w:val="single" w:sz="4" w:space="0" w:color="auto"/>
              <w:bottom w:val="single" w:sz="4" w:space="0" w:color="auto"/>
            </w:tcBorders>
            <w:vAlign w:val="center"/>
          </w:tcPr>
          <w:p w14:paraId="25B86378" w14:textId="658C4861" w:rsidR="00FA563B" w:rsidRPr="00876122" w:rsidRDefault="00FA563B"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b/>
                <w:bCs/>
                <w:color w:val="000000"/>
                <w:szCs w:val="24"/>
                <w:lang w:eastAsia="bg-BG" w:bidi="bg-BG"/>
              </w:rPr>
              <w:t>40</w:t>
            </w:r>
            <w:r w:rsidR="00876122">
              <w:rPr>
                <w:rFonts w:eastAsia="Times New Roman"/>
                <w:b/>
                <w:bCs/>
                <w:color w:val="000000"/>
                <w:szCs w:val="24"/>
                <w:lang w:eastAsia="bg-BG" w:bidi="bg-BG"/>
              </w:rPr>
              <w:t> </w:t>
            </w:r>
            <w:r w:rsidRPr="00876122">
              <w:rPr>
                <w:rFonts w:eastAsia="Times New Roman"/>
                <w:b/>
                <w:bCs/>
                <w:color w:val="000000"/>
                <w:szCs w:val="24"/>
                <w:lang w:eastAsia="bg-BG" w:bidi="bg-BG"/>
              </w:rPr>
              <w:t>345 000</w:t>
            </w:r>
          </w:p>
        </w:tc>
        <w:tc>
          <w:tcPr>
            <w:tcW w:w="1579" w:type="dxa"/>
            <w:tcBorders>
              <w:top w:val="single" w:sz="4" w:space="0" w:color="auto"/>
              <w:left w:val="single" w:sz="4" w:space="0" w:color="auto"/>
              <w:bottom w:val="single" w:sz="4" w:space="0" w:color="auto"/>
              <w:right w:val="single" w:sz="4" w:space="0" w:color="auto"/>
            </w:tcBorders>
            <w:vAlign w:val="center"/>
          </w:tcPr>
          <w:p w14:paraId="2DCCAA0B" w14:textId="0E5C4FD4" w:rsidR="00FA563B" w:rsidRPr="00876122" w:rsidRDefault="00FA563B" w:rsidP="00FA563B">
            <w:pPr>
              <w:widowControl w:val="0"/>
              <w:shd w:val="clear" w:color="auto" w:fill="FFFFFF"/>
              <w:spacing w:before="0" w:after="0"/>
              <w:jc w:val="center"/>
              <w:rPr>
                <w:rFonts w:eastAsia="Times New Roman"/>
                <w:color w:val="000000"/>
                <w:szCs w:val="24"/>
                <w:lang w:eastAsia="hr-HR" w:bidi="hr-HR"/>
              </w:rPr>
            </w:pPr>
            <w:r w:rsidRPr="00876122">
              <w:rPr>
                <w:rFonts w:eastAsia="Times New Roman"/>
                <w:color w:val="000000"/>
                <w:szCs w:val="24"/>
                <w:lang w:eastAsia="bg-BG" w:bidi="bg-BG"/>
              </w:rPr>
              <w:t>100%</w:t>
            </w:r>
          </w:p>
        </w:tc>
      </w:tr>
    </w:tbl>
    <w:p w14:paraId="78202735" w14:textId="77777777" w:rsidR="00F47FDE" w:rsidRPr="00876122" w:rsidRDefault="00F47FDE" w:rsidP="00F47FDE">
      <w:pPr>
        <w:widowControl w:val="0"/>
        <w:shd w:val="clear" w:color="auto" w:fill="FFFFFF"/>
        <w:spacing w:before="0" w:after="499" w:line="1" w:lineRule="exact"/>
        <w:jc w:val="left"/>
        <w:rPr>
          <w:rFonts w:eastAsia="Times New Roman"/>
          <w:color w:val="000000"/>
          <w:szCs w:val="24"/>
          <w:lang w:eastAsia="hr-HR" w:bidi="hr-HR"/>
        </w:rPr>
      </w:pPr>
    </w:p>
    <w:p w14:paraId="048D24B4" w14:textId="71CC4802"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All EU Member States participate in the </w:t>
      </w:r>
      <w:r w:rsidR="00DC4D87">
        <w:rPr>
          <w:rFonts w:eastAsia="Times New Roman"/>
          <w:color w:val="000000"/>
          <w:szCs w:val="24"/>
          <w:lang w:eastAsia="hr-HR" w:bidi="hr-HR"/>
        </w:rPr>
        <w:t xml:space="preserve">Justice </w:t>
      </w:r>
      <w:r w:rsidR="007B4567">
        <w:rPr>
          <w:rFonts w:eastAsia="Times New Roman"/>
          <w:color w:val="000000"/>
          <w:szCs w:val="24"/>
          <w:lang w:eastAsia="hr-HR" w:bidi="hr-HR"/>
        </w:rPr>
        <w:t>p</w:t>
      </w:r>
      <w:r w:rsidR="007B4567" w:rsidRPr="00876122">
        <w:rPr>
          <w:rFonts w:eastAsia="Times New Roman"/>
          <w:color w:val="000000"/>
          <w:szCs w:val="24"/>
          <w:lang w:eastAsia="hr-HR" w:bidi="hr-HR"/>
        </w:rPr>
        <w:t>rogramme</w:t>
      </w:r>
      <w:r w:rsidR="00BB40F6">
        <w:rPr>
          <w:rFonts w:eastAsia="Times New Roman"/>
          <w:color w:val="000000"/>
          <w:szCs w:val="24"/>
          <w:lang w:eastAsia="hr-HR" w:bidi="hr-HR"/>
        </w:rPr>
        <w:t>,</w:t>
      </w:r>
      <w:r w:rsidRPr="00876122">
        <w:rPr>
          <w:rFonts w:eastAsia="Times New Roman"/>
          <w:color w:val="000000"/>
          <w:szCs w:val="24"/>
          <w:lang w:eastAsia="hr-HR" w:bidi="hr-HR"/>
        </w:rPr>
        <w:t xml:space="preserve"> </w:t>
      </w:r>
      <w:proofErr w:type="gramStart"/>
      <w:r w:rsidRPr="00876122">
        <w:rPr>
          <w:rFonts w:eastAsia="Times New Roman"/>
          <w:color w:val="000000"/>
          <w:szCs w:val="24"/>
          <w:lang w:eastAsia="hr-HR" w:bidi="hr-HR"/>
        </w:rPr>
        <w:t>with the exception of</w:t>
      </w:r>
      <w:proofErr w:type="gramEnd"/>
      <w:r w:rsidRPr="00876122">
        <w:rPr>
          <w:rFonts w:eastAsia="Times New Roman"/>
          <w:color w:val="000000"/>
          <w:szCs w:val="24"/>
          <w:lang w:eastAsia="hr-HR" w:bidi="hr-HR"/>
        </w:rPr>
        <w:t xml:space="preserve"> Denmark. The list of non-EU countries that have concluded an agreement with the Union to participate in the Justice </w:t>
      </w:r>
      <w:r w:rsidR="000C632E">
        <w:rPr>
          <w:rFonts w:eastAsia="Times New Roman"/>
          <w:color w:val="000000"/>
          <w:szCs w:val="24"/>
          <w:lang w:eastAsia="hr-HR" w:bidi="hr-HR"/>
        </w:rPr>
        <w:t>p</w:t>
      </w:r>
      <w:r w:rsidRPr="00876122">
        <w:rPr>
          <w:rFonts w:eastAsia="Times New Roman"/>
          <w:color w:val="000000"/>
          <w:szCs w:val="24"/>
          <w:lang w:eastAsia="hr-HR" w:bidi="hr-HR"/>
        </w:rPr>
        <w:t>rogramme is regularly updated</w:t>
      </w:r>
      <w:r w:rsidRPr="00876122">
        <w:rPr>
          <w:rStyle w:val="FootnoteReference"/>
        </w:rPr>
        <w:footnoteReference w:id="37"/>
      </w:r>
      <w:r w:rsidRPr="00876122">
        <w:rPr>
          <w:rFonts w:eastAsia="Times New Roman"/>
          <w:color w:val="000000"/>
          <w:szCs w:val="24"/>
          <w:lang w:eastAsia="hr-HR" w:bidi="hr-HR"/>
        </w:rPr>
        <w:t>.</w:t>
      </w:r>
    </w:p>
    <w:p w14:paraId="35C5B807" w14:textId="47D6D38A"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Activities implemented under this work programme </w:t>
      </w:r>
      <w:r w:rsidRPr="006E5161">
        <w:rPr>
          <w:rFonts w:eastAsia="Times New Roman"/>
          <w:color w:val="000000"/>
          <w:szCs w:val="24"/>
          <w:lang w:eastAsia="hr-HR" w:bidi="hr-HR"/>
        </w:rPr>
        <w:t>shall ensure</w:t>
      </w:r>
      <w:r w:rsidRPr="00876122">
        <w:rPr>
          <w:rFonts w:eastAsia="Times New Roman"/>
          <w:color w:val="000000"/>
          <w:szCs w:val="24"/>
          <w:lang w:eastAsia="hr-HR" w:bidi="hr-HR"/>
        </w:rPr>
        <w:t xml:space="preserve"> consistency, complementarity and synergies with activities supported by other Union instruments</w:t>
      </w:r>
      <w:r w:rsidR="009B704D">
        <w:rPr>
          <w:rFonts w:eastAsia="Times New Roman"/>
          <w:color w:val="000000"/>
          <w:szCs w:val="24"/>
          <w:lang w:eastAsia="hr-HR" w:bidi="hr-HR"/>
        </w:rPr>
        <w:t>,</w:t>
      </w:r>
      <w:r w:rsidRPr="00876122">
        <w:rPr>
          <w:rFonts w:eastAsia="Times New Roman"/>
          <w:color w:val="000000"/>
          <w:szCs w:val="24"/>
          <w:lang w:eastAsia="hr-HR" w:bidi="hr-HR"/>
        </w:rPr>
        <w:t xml:space="preserve"> including</w:t>
      </w:r>
      <w:proofErr w:type="gramStart"/>
      <w:r w:rsidRPr="00876122">
        <w:rPr>
          <w:rFonts w:eastAsia="Times New Roman"/>
          <w:color w:val="000000"/>
          <w:szCs w:val="24"/>
          <w:lang w:eastAsia="hr-HR" w:bidi="hr-HR"/>
        </w:rPr>
        <w:t>, in particular, with</w:t>
      </w:r>
      <w:proofErr w:type="gramEnd"/>
      <w:r w:rsidRPr="00876122">
        <w:rPr>
          <w:rFonts w:eastAsia="Times New Roman"/>
          <w:color w:val="000000"/>
          <w:szCs w:val="24"/>
          <w:lang w:eastAsia="hr-HR" w:bidi="hr-HR"/>
        </w:rPr>
        <w:t xml:space="preserve"> the Citizens, Rights, Equality and Values Programme (CERV), the Internal Security Fund (ISF</w:t>
      </w:r>
      <w:r w:rsidR="00EC0AFD" w:rsidRPr="00876122">
        <w:rPr>
          <w:rFonts w:eastAsia="Times New Roman"/>
          <w:color w:val="000000"/>
          <w:szCs w:val="24"/>
          <w:lang w:eastAsia="hr-HR" w:bidi="hr-HR"/>
        </w:rPr>
        <w:t>)</w:t>
      </w:r>
      <w:r w:rsidR="00EC0AFD">
        <w:rPr>
          <w:rFonts w:eastAsia="Times New Roman"/>
          <w:color w:val="000000"/>
          <w:szCs w:val="24"/>
          <w:lang w:eastAsia="hr-HR" w:bidi="hr-HR"/>
        </w:rPr>
        <w:t>,</w:t>
      </w:r>
      <w:r w:rsidR="00EC0AFD" w:rsidRPr="00876122">
        <w:rPr>
          <w:rFonts w:eastAsia="Times New Roman"/>
          <w:color w:val="000000"/>
          <w:szCs w:val="24"/>
          <w:lang w:eastAsia="hr-HR" w:bidi="hr-HR"/>
        </w:rPr>
        <w:t xml:space="preserve"> the</w:t>
      </w:r>
      <w:r w:rsidRPr="00876122">
        <w:rPr>
          <w:rFonts w:eastAsia="Times New Roman"/>
          <w:color w:val="000000"/>
          <w:szCs w:val="24"/>
          <w:lang w:eastAsia="hr-HR" w:bidi="hr-HR"/>
        </w:rPr>
        <w:t xml:space="preserve"> Digital Europe programme (DEP)</w:t>
      </w:r>
      <w:r w:rsidR="00F66CEB">
        <w:rPr>
          <w:rFonts w:eastAsia="Times New Roman"/>
          <w:color w:val="000000"/>
          <w:szCs w:val="24"/>
          <w:lang w:eastAsia="hr-HR" w:bidi="hr-HR"/>
        </w:rPr>
        <w:t xml:space="preserve"> and Horizon Europe</w:t>
      </w:r>
      <w:r w:rsidRPr="00876122">
        <w:rPr>
          <w:rFonts w:eastAsia="Times New Roman"/>
          <w:color w:val="000000"/>
          <w:szCs w:val="24"/>
          <w:lang w:eastAsia="hr-HR" w:bidi="hr-HR"/>
        </w:rPr>
        <w:t>.</w:t>
      </w:r>
    </w:p>
    <w:p w14:paraId="7D31A594" w14:textId="0D240BCF"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The work programme shall finance actions with European added value. The European added value of actions, including that of small-scale and national actions, shall be assessed in the light of criteria such as: their contribution to the</w:t>
      </w:r>
      <w:r w:rsidR="007B4567">
        <w:rPr>
          <w:rFonts w:eastAsia="Times New Roman"/>
          <w:color w:val="000000"/>
          <w:szCs w:val="24"/>
          <w:lang w:eastAsia="hr-HR" w:bidi="hr-HR"/>
        </w:rPr>
        <w:t xml:space="preserve"> effective and</w:t>
      </w:r>
      <w:r w:rsidRPr="00876122">
        <w:rPr>
          <w:rFonts w:eastAsia="Times New Roman"/>
          <w:color w:val="000000"/>
          <w:szCs w:val="24"/>
          <w:lang w:eastAsia="hr-HR" w:bidi="hr-HR"/>
        </w:rPr>
        <w:t xml:space="preserve"> consistent implementation of Union law and to wide public awareness about the rights deriving from it; their potential to develop mutual trust among Member States and to improve cross-border cooperation; their transnational impact; their contribution to the elaboration and dissemination of best practices or their potential to create practical tools and solutions that address cross-border or </w:t>
      </w:r>
      <w:r w:rsidRPr="00876122">
        <w:rPr>
          <w:rFonts w:eastAsia="Times New Roman"/>
          <w:color w:val="000000"/>
          <w:szCs w:val="24"/>
          <w:lang w:bidi="en-US"/>
        </w:rPr>
        <w:t>Union</w:t>
      </w:r>
      <w:r w:rsidRPr="00876122">
        <w:rPr>
          <w:rFonts w:eastAsia="Times New Roman"/>
          <w:color w:val="000000"/>
          <w:szCs w:val="24"/>
          <w:lang w:bidi="en-US"/>
        </w:rPr>
        <w:softHyphen/>
        <w:t>wide</w:t>
      </w:r>
      <w:r w:rsidRPr="00876122">
        <w:rPr>
          <w:rFonts w:eastAsia="Times New Roman"/>
          <w:color w:val="000000"/>
          <w:szCs w:val="24"/>
          <w:lang w:eastAsia="hr-HR" w:bidi="hr-HR"/>
        </w:rPr>
        <w:t xml:space="preserve"> challenges.</w:t>
      </w:r>
    </w:p>
    <w:p w14:paraId="74AA1214" w14:textId="7CA2D394"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All activities implemented under this work programme shall respect and shall be implemented in line with the rights and principles enshrined in the Charter of Fundamental Rights of the European Union, promote gender mainstreaming and the mainstreaming of </w:t>
      </w:r>
      <w:r w:rsidRPr="00876122">
        <w:rPr>
          <w:rFonts w:eastAsia="Times New Roman"/>
          <w:color w:val="000000"/>
          <w:szCs w:val="24"/>
          <w:lang w:bidi="en-US"/>
        </w:rPr>
        <w:t>non-discrimination,</w:t>
      </w:r>
      <w:r w:rsidRPr="00876122">
        <w:rPr>
          <w:rFonts w:eastAsia="Times New Roman"/>
          <w:color w:val="000000"/>
          <w:szCs w:val="24"/>
          <w:lang w:eastAsia="hr-HR" w:bidi="hr-HR"/>
        </w:rPr>
        <w:t xml:space="preserve"> as well as the mainstreaming of the rights of the child.</w:t>
      </w:r>
    </w:p>
    <w:p w14:paraId="3B847816" w14:textId="3AE5C58A" w:rsidR="00F47FDE" w:rsidRPr="00876122" w:rsidRDefault="00F47FDE" w:rsidP="00F47FDE">
      <w:pPr>
        <w:widowControl w:val="0"/>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Based on the objectives laid down in Regulation (EU) </w:t>
      </w:r>
      <w:r w:rsidRPr="00876122">
        <w:rPr>
          <w:rFonts w:eastAsia="Times New Roman"/>
          <w:color w:val="000000"/>
          <w:szCs w:val="24"/>
          <w:lang w:eastAsia="bg-BG" w:bidi="bg-BG"/>
        </w:rPr>
        <w:t xml:space="preserve">2021/693 </w:t>
      </w:r>
      <w:r w:rsidRPr="00876122">
        <w:rPr>
          <w:rFonts w:eastAsia="Times New Roman"/>
          <w:color w:val="000000"/>
          <w:szCs w:val="24"/>
          <w:lang w:eastAsia="hr-HR" w:bidi="hr-HR"/>
        </w:rPr>
        <w:t xml:space="preserve">of the European Parliament and of the Council of </w:t>
      </w:r>
      <w:r w:rsidRPr="00876122">
        <w:rPr>
          <w:rFonts w:eastAsia="Times New Roman"/>
          <w:color w:val="000000"/>
          <w:szCs w:val="24"/>
          <w:lang w:eastAsia="bg-BG" w:bidi="bg-BG"/>
        </w:rPr>
        <w:t>28</w:t>
      </w:r>
      <w:r w:rsidR="00876122">
        <w:rPr>
          <w:rFonts w:eastAsia="Times New Roman"/>
          <w:color w:val="000000"/>
          <w:szCs w:val="24"/>
          <w:lang w:eastAsia="bg-BG" w:bidi="bg-BG"/>
        </w:rPr>
        <w:t> </w:t>
      </w:r>
      <w:r w:rsidRPr="00876122">
        <w:rPr>
          <w:rFonts w:eastAsia="Times New Roman"/>
          <w:color w:val="000000"/>
          <w:szCs w:val="24"/>
          <w:lang w:eastAsia="hr-HR" w:bidi="hr-HR"/>
        </w:rPr>
        <w:t xml:space="preserve">April </w:t>
      </w:r>
      <w:r w:rsidRPr="00876122">
        <w:rPr>
          <w:rFonts w:eastAsia="Times New Roman"/>
          <w:color w:val="000000"/>
          <w:szCs w:val="24"/>
          <w:lang w:eastAsia="bg-BG" w:bidi="bg-BG"/>
        </w:rPr>
        <w:t xml:space="preserve">2021 </w:t>
      </w:r>
      <w:r w:rsidRPr="00876122">
        <w:rPr>
          <w:rFonts w:eastAsia="Times New Roman"/>
          <w:color w:val="000000"/>
          <w:szCs w:val="24"/>
          <w:lang w:eastAsia="hr-HR" w:bidi="hr-HR"/>
        </w:rPr>
        <w:t xml:space="preserve">establishing the </w:t>
      </w:r>
      <w:r w:rsidR="00FE62A4">
        <w:rPr>
          <w:rFonts w:eastAsia="Times New Roman"/>
          <w:color w:val="000000"/>
          <w:szCs w:val="24"/>
          <w:lang w:eastAsia="hr-HR" w:bidi="hr-HR"/>
        </w:rPr>
        <w:t>J</w:t>
      </w:r>
      <w:r w:rsidRPr="00876122">
        <w:rPr>
          <w:rFonts w:eastAsia="Times New Roman"/>
          <w:color w:val="000000"/>
          <w:szCs w:val="24"/>
          <w:lang w:eastAsia="hr-HR" w:bidi="hr-HR"/>
        </w:rPr>
        <w:t xml:space="preserve">ustice </w:t>
      </w:r>
      <w:r w:rsidR="00D22C9B">
        <w:rPr>
          <w:rFonts w:eastAsia="Times New Roman"/>
          <w:color w:val="000000"/>
          <w:szCs w:val="24"/>
          <w:lang w:eastAsia="hr-HR" w:bidi="hr-HR"/>
        </w:rPr>
        <w:t>p</w:t>
      </w:r>
      <w:r w:rsidR="00D22C9B" w:rsidRPr="00876122">
        <w:rPr>
          <w:rFonts w:eastAsia="Times New Roman"/>
          <w:color w:val="000000"/>
          <w:szCs w:val="24"/>
          <w:lang w:eastAsia="hr-HR" w:bidi="hr-HR"/>
        </w:rPr>
        <w:t xml:space="preserve">rogramme </w:t>
      </w:r>
      <w:r w:rsidRPr="00876122">
        <w:rPr>
          <w:rFonts w:eastAsia="Times New Roman"/>
          <w:color w:val="000000"/>
          <w:szCs w:val="24"/>
          <w:lang w:eastAsia="hr-HR" w:bidi="hr-HR"/>
        </w:rPr>
        <w:t>and repealing Regulation (EU) No</w:t>
      </w:r>
      <w:r w:rsidR="00876122">
        <w:rPr>
          <w:rFonts w:eastAsia="Times New Roman"/>
          <w:color w:val="000000"/>
          <w:szCs w:val="24"/>
          <w:lang w:eastAsia="hr-HR" w:bidi="hr-HR"/>
        </w:rPr>
        <w:t> </w:t>
      </w:r>
      <w:r w:rsidRPr="00876122">
        <w:rPr>
          <w:rFonts w:eastAsia="Times New Roman"/>
          <w:color w:val="000000"/>
          <w:szCs w:val="24"/>
          <w:lang w:eastAsia="bg-BG" w:bidi="bg-BG"/>
        </w:rPr>
        <w:t xml:space="preserve">1382/2013, </w:t>
      </w:r>
      <w:r w:rsidRPr="00876122">
        <w:rPr>
          <w:rFonts w:eastAsia="Times New Roman"/>
          <w:color w:val="000000"/>
          <w:szCs w:val="24"/>
          <w:lang w:eastAsia="hr-HR" w:bidi="hr-HR"/>
        </w:rPr>
        <w:t xml:space="preserve">this work programme contains the actions to be financed and the budget breakdown for the years </w:t>
      </w:r>
      <w:r w:rsidRPr="00876122">
        <w:rPr>
          <w:rFonts w:eastAsia="Times New Roman"/>
          <w:color w:val="000000"/>
          <w:szCs w:val="24"/>
          <w:lang w:eastAsia="bg-BG" w:bidi="bg-BG"/>
        </w:rPr>
        <w:t xml:space="preserve">2026-2027 </w:t>
      </w:r>
      <w:r w:rsidRPr="00876122">
        <w:rPr>
          <w:rFonts w:eastAsia="Times New Roman"/>
          <w:color w:val="000000"/>
          <w:szCs w:val="24"/>
          <w:lang w:eastAsia="hr-HR" w:bidi="hr-HR"/>
        </w:rPr>
        <w:t>as follows:</w:t>
      </w:r>
    </w:p>
    <w:p w14:paraId="63FFB058" w14:textId="6814CC9D" w:rsidR="00F47FDE" w:rsidRPr="00D22C9B" w:rsidRDefault="00F47FDE" w:rsidP="00D22C9B">
      <w:pPr>
        <w:pStyle w:val="ListParagraph"/>
        <w:widowControl w:val="0"/>
        <w:numPr>
          <w:ilvl w:val="0"/>
          <w:numId w:val="57"/>
        </w:numPr>
        <w:shd w:val="clear" w:color="auto" w:fill="FFFFFF"/>
        <w:tabs>
          <w:tab w:val="left" w:pos="360"/>
        </w:tabs>
        <w:spacing w:before="0" w:after="100"/>
        <w:jc w:val="left"/>
        <w:rPr>
          <w:rFonts w:eastAsia="Times New Roman"/>
          <w:color w:val="000000"/>
          <w:szCs w:val="24"/>
          <w:lang w:eastAsia="hr-HR" w:bidi="hr-HR"/>
        </w:rPr>
      </w:pPr>
      <w:r w:rsidRPr="00D22C9B">
        <w:rPr>
          <w:rFonts w:eastAsia="Times New Roman"/>
          <w:color w:val="000000"/>
          <w:szCs w:val="24"/>
          <w:lang w:eastAsia="hr-HR" w:bidi="hr-HR"/>
        </w:rPr>
        <w:t xml:space="preserve">for grants (implemented under direct management) (point </w:t>
      </w:r>
      <w:r w:rsidRPr="00D22C9B">
        <w:rPr>
          <w:rFonts w:eastAsia="Times New Roman"/>
          <w:color w:val="000000"/>
          <w:szCs w:val="24"/>
          <w:lang w:eastAsia="bg-BG" w:bidi="bg-BG"/>
        </w:rPr>
        <w:t>2</w:t>
      </w:r>
      <w:proofErr w:type="gramStart"/>
      <w:r w:rsidR="00ED306F" w:rsidRPr="00D22C9B">
        <w:rPr>
          <w:rFonts w:eastAsia="Times New Roman"/>
          <w:color w:val="000000"/>
          <w:szCs w:val="24"/>
          <w:lang w:eastAsia="bg-BG" w:bidi="bg-BG"/>
        </w:rPr>
        <w:t>);</w:t>
      </w:r>
      <w:proofErr w:type="gramEnd"/>
    </w:p>
    <w:p w14:paraId="631CFD54" w14:textId="2F7A6250" w:rsidR="00F47FDE" w:rsidRPr="00355EB9" w:rsidRDefault="00D22C9B" w:rsidP="00D22C9B">
      <w:pPr>
        <w:pStyle w:val="ListParagraph"/>
        <w:widowControl w:val="0"/>
        <w:numPr>
          <w:ilvl w:val="0"/>
          <w:numId w:val="57"/>
        </w:numPr>
        <w:shd w:val="clear" w:color="auto" w:fill="FFFFFF"/>
        <w:tabs>
          <w:tab w:val="left" w:pos="360"/>
        </w:tabs>
        <w:spacing w:before="0" w:after="100"/>
        <w:jc w:val="left"/>
        <w:rPr>
          <w:rFonts w:eastAsia="Times New Roman"/>
          <w:color w:val="000000"/>
          <w:szCs w:val="24"/>
          <w:lang w:eastAsia="hr-HR" w:bidi="hr-HR"/>
        </w:rPr>
      </w:pPr>
      <w:r>
        <w:rPr>
          <w:rFonts w:eastAsia="Times New Roman"/>
          <w:color w:val="000000"/>
          <w:szCs w:val="24"/>
          <w:lang w:eastAsia="hr-HR" w:bidi="hr-HR"/>
        </w:rPr>
        <w:t xml:space="preserve">for </w:t>
      </w:r>
      <w:r w:rsidR="00F47FDE" w:rsidRPr="00355EB9">
        <w:rPr>
          <w:rFonts w:eastAsia="Times New Roman"/>
          <w:color w:val="000000"/>
          <w:szCs w:val="24"/>
          <w:lang w:eastAsia="hr-HR" w:bidi="hr-HR"/>
        </w:rPr>
        <w:t xml:space="preserve">procurement (implemented under direct management) (point </w:t>
      </w:r>
      <w:r w:rsidR="00F47FDE" w:rsidRPr="00355EB9">
        <w:rPr>
          <w:rFonts w:eastAsia="Times New Roman"/>
          <w:color w:val="000000"/>
          <w:szCs w:val="24"/>
          <w:lang w:eastAsia="bg-BG" w:bidi="bg-BG"/>
        </w:rPr>
        <w:t>3</w:t>
      </w:r>
      <w:proofErr w:type="gramStart"/>
      <w:r w:rsidR="00ED306F">
        <w:rPr>
          <w:rFonts w:eastAsia="Times New Roman"/>
          <w:color w:val="000000"/>
          <w:szCs w:val="24"/>
          <w:lang w:eastAsia="bg-BG" w:bidi="bg-BG"/>
        </w:rPr>
        <w:t>);</w:t>
      </w:r>
      <w:proofErr w:type="gramEnd"/>
    </w:p>
    <w:p w14:paraId="6A2F65CA" w14:textId="44F29F58" w:rsidR="00F47FDE" w:rsidRPr="00355EB9" w:rsidRDefault="00D22C9B" w:rsidP="00D22C9B">
      <w:pPr>
        <w:pStyle w:val="ListParagraph"/>
        <w:widowControl w:val="0"/>
        <w:numPr>
          <w:ilvl w:val="0"/>
          <w:numId w:val="57"/>
        </w:numPr>
        <w:shd w:val="clear" w:color="auto" w:fill="FFFFFF"/>
        <w:tabs>
          <w:tab w:val="left" w:pos="360"/>
        </w:tabs>
        <w:spacing w:before="0" w:after="100"/>
        <w:jc w:val="left"/>
        <w:rPr>
          <w:rFonts w:eastAsia="Times New Roman"/>
          <w:color w:val="000000"/>
          <w:szCs w:val="24"/>
          <w:lang w:eastAsia="hr-HR" w:bidi="hr-HR"/>
        </w:rPr>
      </w:pPr>
      <w:r>
        <w:rPr>
          <w:rFonts w:eastAsia="Times New Roman"/>
          <w:color w:val="000000"/>
          <w:szCs w:val="24"/>
          <w:lang w:eastAsia="hr-HR" w:bidi="hr-HR"/>
        </w:rPr>
        <w:t xml:space="preserve">for </w:t>
      </w:r>
      <w:r w:rsidR="00F47FDE" w:rsidRPr="00355EB9">
        <w:rPr>
          <w:rFonts w:eastAsia="Times New Roman"/>
          <w:color w:val="000000"/>
          <w:szCs w:val="24"/>
          <w:lang w:eastAsia="hr-HR" w:bidi="hr-HR"/>
        </w:rPr>
        <w:t xml:space="preserve">actions implemented in indirect management (point </w:t>
      </w:r>
      <w:r w:rsidR="00F47FDE" w:rsidRPr="00355EB9">
        <w:rPr>
          <w:rFonts w:eastAsia="Times New Roman"/>
          <w:color w:val="000000"/>
          <w:szCs w:val="24"/>
          <w:lang w:eastAsia="bg-BG" w:bidi="bg-BG"/>
        </w:rPr>
        <w:t>4</w:t>
      </w:r>
      <w:proofErr w:type="gramStart"/>
      <w:r w:rsidR="00ED306F">
        <w:rPr>
          <w:rFonts w:eastAsia="Times New Roman"/>
          <w:color w:val="000000"/>
          <w:szCs w:val="24"/>
          <w:lang w:eastAsia="bg-BG" w:bidi="bg-BG"/>
        </w:rPr>
        <w:t>);</w:t>
      </w:r>
      <w:proofErr w:type="gramEnd"/>
    </w:p>
    <w:p w14:paraId="3760F443" w14:textId="4925C624" w:rsidR="00F47FDE" w:rsidRPr="00355EB9" w:rsidRDefault="00D22C9B" w:rsidP="00D22C9B">
      <w:pPr>
        <w:pStyle w:val="ListParagraph"/>
        <w:widowControl w:val="0"/>
        <w:numPr>
          <w:ilvl w:val="0"/>
          <w:numId w:val="57"/>
        </w:numPr>
        <w:shd w:val="clear" w:color="auto" w:fill="FFFFFF"/>
        <w:tabs>
          <w:tab w:val="left" w:pos="360"/>
        </w:tabs>
        <w:spacing w:before="0" w:after="100"/>
        <w:jc w:val="left"/>
        <w:rPr>
          <w:rFonts w:eastAsia="Times New Roman"/>
          <w:color w:val="000000"/>
          <w:szCs w:val="24"/>
          <w:lang w:eastAsia="hr-HR" w:bidi="hr-HR"/>
        </w:rPr>
      </w:pPr>
      <w:r>
        <w:rPr>
          <w:rFonts w:eastAsia="Times New Roman"/>
          <w:color w:val="000000"/>
          <w:szCs w:val="24"/>
          <w:lang w:eastAsia="hr-HR" w:bidi="hr-HR"/>
        </w:rPr>
        <w:t xml:space="preserve">for </w:t>
      </w:r>
      <w:r w:rsidR="00F47FDE" w:rsidRPr="00355EB9">
        <w:rPr>
          <w:rFonts w:eastAsia="Times New Roman"/>
          <w:color w:val="000000"/>
          <w:szCs w:val="24"/>
          <w:lang w:eastAsia="hr-HR" w:bidi="hr-HR"/>
        </w:rPr>
        <w:t xml:space="preserve">other actions or expenditure (point </w:t>
      </w:r>
      <w:r w:rsidR="00F47FDE" w:rsidRPr="00355EB9">
        <w:rPr>
          <w:rFonts w:eastAsia="Times New Roman"/>
          <w:color w:val="000000"/>
          <w:szCs w:val="24"/>
          <w:lang w:eastAsia="bg-BG" w:bidi="bg-BG"/>
        </w:rPr>
        <w:t>5).</w:t>
      </w:r>
    </w:p>
    <w:p w14:paraId="1D878E2D" w14:textId="77777777" w:rsidR="00F47FDE" w:rsidRPr="00876122" w:rsidRDefault="00F47FDE" w:rsidP="00F47FDE">
      <w:pPr>
        <w:widowControl w:val="0"/>
        <w:shd w:val="clear" w:color="auto" w:fill="FFFFFF"/>
        <w:tabs>
          <w:tab w:val="left" w:pos="360"/>
        </w:tabs>
        <w:spacing w:before="0" w:after="100"/>
        <w:rPr>
          <w:rFonts w:eastAsia="Times New Roman"/>
          <w:color w:val="000000"/>
          <w:szCs w:val="24"/>
          <w:lang w:eastAsia="hr-HR" w:bidi="hr-HR"/>
        </w:rPr>
      </w:pPr>
    </w:p>
    <w:p w14:paraId="74661409" w14:textId="77777777" w:rsidR="00F47FDE" w:rsidRPr="00876122" w:rsidRDefault="00F47FDE" w:rsidP="00F47FDE">
      <w:pPr>
        <w:widowControl w:val="0"/>
        <w:shd w:val="clear" w:color="auto" w:fill="FFFFFF"/>
        <w:tabs>
          <w:tab w:val="left" w:pos="360"/>
        </w:tabs>
        <w:spacing w:before="0" w:after="100"/>
        <w:rPr>
          <w:rFonts w:eastAsia="Times New Roman"/>
          <w:color w:val="000000"/>
          <w:szCs w:val="24"/>
          <w:lang w:eastAsia="hr-HR" w:bidi="hr-HR"/>
        </w:rPr>
      </w:pPr>
    </w:p>
    <w:p w14:paraId="0B1B863F" w14:textId="77777777" w:rsidR="00F47FDE" w:rsidRPr="00876122" w:rsidRDefault="00F47FDE" w:rsidP="00F47FDE">
      <w:pPr>
        <w:widowControl w:val="0"/>
        <w:shd w:val="clear" w:color="auto" w:fill="FFFFFF"/>
        <w:tabs>
          <w:tab w:val="left" w:pos="360"/>
        </w:tabs>
        <w:spacing w:before="0" w:after="100"/>
        <w:rPr>
          <w:rFonts w:eastAsia="Times New Roman"/>
          <w:color w:val="000000"/>
          <w:szCs w:val="24"/>
          <w:lang w:eastAsia="hr-HR" w:bidi="hr-HR"/>
        </w:rPr>
      </w:pPr>
    </w:p>
    <w:p w14:paraId="39F9E4CC" w14:textId="69E41795" w:rsidR="00F47FDE" w:rsidRPr="00876122" w:rsidRDefault="00F47FDE" w:rsidP="00FA563B">
      <w:pPr>
        <w:pStyle w:val="Heading1"/>
        <w:rPr>
          <w:rFonts w:eastAsia="Times New Roman"/>
          <w:lang w:eastAsia="hr-HR" w:bidi="hr-HR"/>
        </w:rPr>
      </w:pPr>
      <w:bookmarkStart w:id="16" w:name="bookmark57"/>
      <w:bookmarkStart w:id="17" w:name="_Toc205461081"/>
      <w:r w:rsidRPr="00876122">
        <w:rPr>
          <w:rFonts w:eastAsia="Times New Roman"/>
          <w:lang w:eastAsia="hr-HR" w:bidi="hr-HR"/>
        </w:rPr>
        <w:lastRenderedPageBreak/>
        <w:t>Grants</w:t>
      </w:r>
      <w:bookmarkEnd w:id="16"/>
      <w:bookmarkEnd w:id="17"/>
    </w:p>
    <w:p w14:paraId="42CB2BA5" w14:textId="175EB595" w:rsidR="00F47FDE" w:rsidRPr="00876122" w:rsidRDefault="00F47FDE" w:rsidP="00F47FDE">
      <w:pPr>
        <w:widowControl w:val="0"/>
        <w:shd w:val="clear" w:color="auto" w:fill="FFFFFF"/>
        <w:spacing w:before="0"/>
        <w:jc w:val="left"/>
        <w:rPr>
          <w:rFonts w:eastAsia="Times New Roman"/>
          <w:color w:val="000000"/>
          <w:szCs w:val="24"/>
          <w:lang w:eastAsia="bg-BG" w:bidi="bg-BG"/>
        </w:rPr>
      </w:pPr>
      <w:r w:rsidRPr="00876122">
        <w:rPr>
          <w:rFonts w:eastAsia="Times New Roman"/>
          <w:color w:val="000000"/>
          <w:szCs w:val="24"/>
          <w:lang w:eastAsia="hr-HR" w:bidi="hr-HR"/>
        </w:rPr>
        <w:t xml:space="preserve">The global budgetary envelope reserved for grants under this work programme is </w:t>
      </w:r>
      <w:r w:rsidR="00625E84">
        <w:rPr>
          <w:rFonts w:eastAsia="Times New Roman"/>
          <w:color w:val="000000"/>
          <w:szCs w:val="24"/>
          <w:lang w:eastAsia="bg-BG" w:bidi="bg-BG"/>
        </w:rPr>
        <w:t xml:space="preserve">EUR </w:t>
      </w:r>
      <w:r w:rsidR="00FA08FE" w:rsidRPr="00876122">
        <w:rPr>
          <w:rFonts w:eastAsia="Times New Roman"/>
          <w:color w:val="000000"/>
          <w:szCs w:val="24"/>
          <w:lang w:eastAsia="bg-BG" w:bidi="bg-BG"/>
        </w:rPr>
        <w:t>31</w:t>
      </w:r>
      <w:r w:rsidR="00876122">
        <w:rPr>
          <w:rFonts w:eastAsia="Times New Roman"/>
          <w:color w:val="000000"/>
          <w:szCs w:val="24"/>
          <w:lang w:eastAsia="bg-BG" w:bidi="bg-BG"/>
        </w:rPr>
        <w:t> </w:t>
      </w:r>
      <w:r w:rsidR="00FA08FE" w:rsidRPr="00876122">
        <w:rPr>
          <w:rFonts w:eastAsia="Times New Roman"/>
          <w:color w:val="000000"/>
          <w:szCs w:val="24"/>
          <w:lang w:eastAsia="bg-BG" w:bidi="bg-BG"/>
        </w:rPr>
        <w:t>4</w:t>
      </w:r>
      <w:r w:rsidRPr="00876122">
        <w:rPr>
          <w:rFonts w:eastAsia="Times New Roman"/>
          <w:color w:val="000000"/>
          <w:szCs w:val="24"/>
          <w:lang w:eastAsia="bg-BG" w:bidi="bg-BG"/>
        </w:rPr>
        <w:t>5</w:t>
      </w:r>
      <w:r w:rsidR="00FA08FE" w:rsidRPr="00876122">
        <w:rPr>
          <w:rFonts w:eastAsia="Times New Roman"/>
          <w:color w:val="000000"/>
          <w:szCs w:val="24"/>
          <w:lang w:eastAsia="bg-BG" w:bidi="bg-BG"/>
        </w:rPr>
        <w:t>0</w:t>
      </w:r>
      <w:r w:rsidRPr="00876122">
        <w:rPr>
          <w:rFonts w:eastAsia="Times New Roman"/>
          <w:color w:val="000000"/>
          <w:szCs w:val="24"/>
          <w:lang w:eastAsia="bg-BG" w:bidi="bg-BG"/>
        </w:rPr>
        <w:t xml:space="preserve"> 000 </w:t>
      </w:r>
      <w:r w:rsidRPr="00876122">
        <w:rPr>
          <w:rFonts w:eastAsia="Times New Roman"/>
          <w:color w:val="000000"/>
          <w:szCs w:val="24"/>
          <w:lang w:eastAsia="hr-HR" w:bidi="hr-HR"/>
        </w:rPr>
        <w:t xml:space="preserve">for </w:t>
      </w:r>
      <w:r w:rsidRPr="00876122">
        <w:rPr>
          <w:rFonts w:eastAsia="Times New Roman"/>
          <w:color w:val="000000"/>
          <w:szCs w:val="24"/>
          <w:lang w:eastAsia="bg-BG" w:bidi="bg-BG"/>
        </w:rPr>
        <w:t>2026</w:t>
      </w:r>
      <w:r w:rsidRPr="00876122">
        <w:rPr>
          <w:rFonts w:eastAsia="Times New Roman"/>
          <w:color w:val="000000"/>
          <w:szCs w:val="24"/>
          <w:lang w:eastAsia="hr-HR" w:bidi="hr-HR"/>
        </w:rPr>
        <w:t xml:space="preserve"> and </w:t>
      </w:r>
      <w:r w:rsidR="00625E84">
        <w:rPr>
          <w:rFonts w:eastAsia="Times New Roman"/>
          <w:color w:val="000000"/>
          <w:szCs w:val="24"/>
          <w:lang w:eastAsia="bg-BG" w:bidi="bg-BG"/>
        </w:rPr>
        <w:t>EUR </w:t>
      </w:r>
      <w:r w:rsidR="00FA08FE" w:rsidRPr="00876122">
        <w:rPr>
          <w:rFonts w:eastAsia="Times New Roman"/>
          <w:color w:val="000000"/>
          <w:szCs w:val="24"/>
          <w:lang w:eastAsia="bg-BG" w:bidi="bg-BG"/>
        </w:rPr>
        <w:t>31</w:t>
      </w:r>
      <w:r w:rsidR="00876122">
        <w:rPr>
          <w:rFonts w:eastAsia="Times New Roman"/>
          <w:color w:val="000000"/>
          <w:szCs w:val="24"/>
          <w:lang w:eastAsia="bg-BG" w:bidi="bg-BG"/>
        </w:rPr>
        <w:t> </w:t>
      </w:r>
      <w:r w:rsidR="00FA08FE" w:rsidRPr="00876122">
        <w:rPr>
          <w:rFonts w:eastAsia="Times New Roman"/>
          <w:color w:val="000000"/>
          <w:szCs w:val="24"/>
          <w:lang w:eastAsia="bg-BG" w:bidi="bg-BG"/>
        </w:rPr>
        <w:t>225 000</w:t>
      </w:r>
      <w:r w:rsidR="00876122">
        <w:rPr>
          <w:rFonts w:eastAsia="Times New Roman"/>
          <w:color w:val="000000"/>
          <w:szCs w:val="24"/>
          <w:lang w:eastAsia="bg-BG" w:bidi="bg-BG"/>
        </w:rPr>
        <w:t> </w:t>
      </w:r>
      <w:r w:rsidR="009E0CC6">
        <w:rPr>
          <w:rFonts w:eastAsia="Times New Roman"/>
          <w:color w:val="000000"/>
          <w:szCs w:val="24"/>
          <w:lang w:eastAsia="bg-BG" w:bidi="bg-BG"/>
        </w:rPr>
        <w:t xml:space="preserve">for </w:t>
      </w:r>
      <w:r w:rsidRPr="00876122">
        <w:rPr>
          <w:rFonts w:eastAsia="Times New Roman"/>
          <w:color w:val="000000"/>
          <w:szCs w:val="24"/>
          <w:lang w:eastAsia="bg-BG" w:bidi="bg-BG"/>
        </w:rPr>
        <w:t>2027.</w:t>
      </w:r>
    </w:p>
    <w:p w14:paraId="07562200" w14:textId="77777777" w:rsidR="00F47FDE" w:rsidRPr="00876122" w:rsidRDefault="00F47FDE" w:rsidP="00F47FDE">
      <w:pPr>
        <w:widowControl w:val="0"/>
        <w:shd w:val="clear" w:color="auto" w:fill="FFFFFF"/>
        <w:spacing w:before="0"/>
        <w:jc w:val="left"/>
        <w:rPr>
          <w:rFonts w:eastAsia="Times New Roman"/>
          <w:color w:val="000000"/>
          <w:szCs w:val="24"/>
          <w:lang w:eastAsia="hr-HR" w:bidi="hr-HR"/>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73"/>
        <w:gridCol w:w="1488"/>
        <w:gridCol w:w="1632"/>
        <w:gridCol w:w="2021"/>
      </w:tblGrid>
      <w:tr w:rsidR="00F47FDE" w:rsidRPr="00876122" w14:paraId="67E94D1E" w14:textId="77777777" w:rsidTr="00EC0AFD">
        <w:trPr>
          <w:trHeight w:hRule="exact" w:val="691"/>
          <w:jc w:val="center"/>
        </w:trPr>
        <w:tc>
          <w:tcPr>
            <w:tcW w:w="4073" w:type="dxa"/>
            <w:tcBorders>
              <w:top w:val="single" w:sz="4" w:space="0" w:color="auto"/>
              <w:left w:val="single" w:sz="4" w:space="0" w:color="auto"/>
            </w:tcBorders>
            <w:vAlign w:val="center"/>
          </w:tcPr>
          <w:p w14:paraId="0E63114D"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r w:rsidRPr="00876122">
              <w:rPr>
                <w:rFonts w:eastAsia="Times New Roman"/>
                <w:b/>
                <w:bCs/>
                <w:color w:val="000000"/>
                <w:szCs w:val="24"/>
                <w:lang w:eastAsia="hr-HR" w:bidi="hr-HR"/>
              </w:rPr>
              <w:t xml:space="preserve">Specific objective </w:t>
            </w:r>
            <w:r w:rsidRPr="00876122">
              <w:rPr>
                <w:rFonts w:eastAsia="Times New Roman"/>
                <w:color w:val="000000"/>
                <w:szCs w:val="24"/>
                <w:lang w:eastAsia="bg-BG" w:bidi="bg-BG"/>
              </w:rPr>
              <w:t xml:space="preserve">– </w:t>
            </w:r>
            <w:r w:rsidRPr="00876122">
              <w:rPr>
                <w:rFonts w:eastAsia="Times New Roman"/>
                <w:b/>
                <w:bCs/>
                <w:color w:val="000000"/>
                <w:szCs w:val="24"/>
                <w:lang w:eastAsia="hr-HR" w:bidi="hr-HR"/>
              </w:rPr>
              <w:t>Budget lines</w:t>
            </w:r>
          </w:p>
        </w:tc>
        <w:tc>
          <w:tcPr>
            <w:tcW w:w="1488" w:type="dxa"/>
            <w:tcBorders>
              <w:top w:val="single" w:sz="4" w:space="0" w:color="auto"/>
              <w:left w:val="single" w:sz="4" w:space="0" w:color="auto"/>
            </w:tcBorders>
          </w:tcPr>
          <w:p w14:paraId="099B6C66"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bg-BG" w:bidi="bg-BG"/>
              </w:rPr>
              <w:t>2026</w:t>
            </w:r>
          </w:p>
        </w:tc>
        <w:tc>
          <w:tcPr>
            <w:tcW w:w="1632" w:type="dxa"/>
            <w:tcBorders>
              <w:top w:val="single" w:sz="4" w:space="0" w:color="auto"/>
              <w:left w:val="single" w:sz="4" w:space="0" w:color="auto"/>
            </w:tcBorders>
          </w:tcPr>
          <w:p w14:paraId="2A9A4C17" w14:textId="77777777" w:rsidR="00F47FDE" w:rsidRPr="00876122" w:rsidRDefault="00F47FDE" w:rsidP="00F47FDE">
            <w:pPr>
              <w:widowControl w:val="0"/>
              <w:shd w:val="clear" w:color="auto" w:fill="FFFFFF"/>
              <w:spacing w:before="0" w:after="0"/>
              <w:jc w:val="center"/>
              <w:rPr>
                <w:rFonts w:eastAsia="Times New Roman"/>
                <w:color w:val="000000"/>
                <w:szCs w:val="24"/>
                <w:lang w:eastAsia="hr-HR" w:bidi="hr-HR"/>
              </w:rPr>
            </w:pPr>
            <w:r w:rsidRPr="00876122">
              <w:rPr>
                <w:rFonts w:eastAsia="Times New Roman"/>
                <w:b/>
                <w:bCs/>
                <w:color w:val="000000"/>
                <w:szCs w:val="24"/>
                <w:lang w:eastAsia="bg-BG" w:bidi="bg-BG"/>
              </w:rPr>
              <w:t>2027</w:t>
            </w:r>
          </w:p>
        </w:tc>
        <w:tc>
          <w:tcPr>
            <w:tcW w:w="2021" w:type="dxa"/>
            <w:tcBorders>
              <w:top w:val="single" w:sz="4" w:space="0" w:color="auto"/>
              <w:left w:val="single" w:sz="4" w:space="0" w:color="auto"/>
              <w:right w:val="single" w:sz="4" w:space="0" w:color="auto"/>
            </w:tcBorders>
          </w:tcPr>
          <w:p w14:paraId="7C65C952" w14:textId="77777777" w:rsidR="00F47FDE" w:rsidRPr="00876122" w:rsidRDefault="00F47FDE" w:rsidP="00F47FDE">
            <w:pPr>
              <w:widowControl w:val="0"/>
              <w:shd w:val="clear" w:color="auto" w:fill="FFFFFF"/>
              <w:spacing w:before="0" w:after="0"/>
              <w:ind w:firstLine="560"/>
              <w:jc w:val="left"/>
              <w:rPr>
                <w:rFonts w:eastAsia="Times New Roman"/>
                <w:color w:val="000000"/>
                <w:szCs w:val="24"/>
                <w:lang w:eastAsia="hr-HR" w:bidi="hr-HR"/>
              </w:rPr>
            </w:pPr>
            <w:r w:rsidRPr="00876122">
              <w:rPr>
                <w:rFonts w:eastAsia="Times New Roman"/>
                <w:b/>
                <w:bCs/>
                <w:color w:val="000000"/>
                <w:szCs w:val="24"/>
                <w:lang w:eastAsia="hr-HR" w:bidi="hr-HR"/>
              </w:rPr>
              <w:t>Total</w:t>
            </w:r>
          </w:p>
        </w:tc>
      </w:tr>
      <w:tr w:rsidR="00F47FDE" w:rsidRPr="00876122" w14:paraId="6CD29802" w14:textId="77777777" w:rsidTr="00EC0AFD">
        <w:trPr>
          <w:trHeight w:hRule="exact" w:val="379"/>
          <w:jc w:val="center"/>
        </w:trPr>
        <w:tc>
          <w:tcPr>
            <w:tcW w:w="4073" w:type="dxa"/>
            <w:tcBorders>
              <w:top w:val="single" w:sz="4" w:space="0" w:color="auto"/>
              <w:left w:val="single" w:sz="4" w:space="0" w:color="auto"/>
            </w:tcBorders>
            <w:vAlign w:val="center"/>
          </w:tcPr>
          <w:p w14:paraId="7C405B53"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r w:rsidRPr="00876122">
              <w:rPr>
                <w:rFonts w:eastAsia="Times New Roman"/>
                <w:color w:val="000000"/>
                <w:szCs w:val="24"/>
                <w:lang w:eastAsia="hr-HR" w:bidi="hr-HR"/>
              </w:rPr>
              <w:t xml:space="preserve">Judicial cooperation </w:t>
            </w:r>
            <w:r w:rsidRPr="00876122">
              <w:rPr>
                <w:rFonts w:eastAsia="Times New Roman"/>
                <w:color w:val="000000"/>
                <w:szCs w:val="24"/>
                <w:lang w:eastAsia="bg-BG" w:bidi="bg-BG"/>
              </w:rPr>
              <w:t>– 07 07 01</w:t>
            </w:r>
          </w:p>
        </w:tc>
        <w:tc>
          <w:tcPr>
            <w:tcW w:w="1488" w:type="dxa"/>
            <w:tcBorders>
              <w:top w:val="single" w:sz="4" w:space="0" w:color="auto"/>
              <w:left w:val="single" w:sz="4" w:space="0" w:color="auto"/>
            </w:tcBorders>
            <w:vAlign w:val="center"/>
          </w:tcPr>
          <w:p w14:paraId="4BFC80C7" w14:textId="6C68D1C1"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xml:space="preserve">€ </w:t>
            </w:r>
            <w:r w:rsidR="00FA08FE" w:rsidRPr="00876122">
              <w:rPr>
                <w:rFonts w:eastAsia="Times New Roman"/>
                <w:color w:val="000000"/>
                <w:szCs w:val="24"/>
                <w:lang w:eastAsia="bg-BG" w:bidi="bg-BG"/>
              </w:rPr>
              <w:t>8</w:t>
            </w:r>
            <w:r w:rsidRPr="00876122">
              <w:rPr>
                <w:rFonts w:eastAsia="Times New Roman"/>
                <w:color w:val="000000"/>
                <w:szCs w:val="24"/>
                <w:lang w:eastAsia="bg-BG" w:bidi="bg-BG"/>
              </w:rPr>
              <w:t xml:space="preserve"> </w:t>
            </w:r>
            <w:r w:rsidR="00FA08FE" w:rsidRPr="00876122">
              <w:rPr>
                <w:rFonts w:eastAsia="Times New Roman"/>
                <w:color w:val="000000"/>
                <w:szCs w:val="24"/>
                <w:lang w:eastAsia="bg-BG" w:bidi="bg-BG"/>
              </w:rPr>
              <w:t>25</w:t>
            </w:r>
            <w:r w:rsidRPr="00876122">
              <w:rPr>
                <w:rFonts w:eastAsia="Times New Roman"/>
                <w:color w:val="000000"/>
                <w:szCs w:val="24"/>
                <w:lang w:eastAsia="bg-BG" w:bidi="bg-BG"/>
              </w:rPr>
              <w:t>0 000</w:t>
            </w:r>
          </w:p>
        </w:tc>
        <w:tc>
          <w:tcPr>
            <w:tcW w:w="1632" w:type="dxa"/>
            <w:tcBorders>
              <w:top w:val="single" w:sz="4" w:space="0" w:color="auto"/>
              <w:left w:val="single" w:sz="4" w:space="0" w:color="auto"/>
            </w:tcBorders>
            <w:vAlign w:val="center"/>
          </w:tcPr>
          <w:p w14:paraId="30E5356D" w14:textId="42037369"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xml:space="preserve">€ </w:t>
            </w:r>
            <w:r w:rsidR="00FA08FE" w:rsidRPr="00876122">
              <w:rPr>
                <w:rFonts w:eastAsia="Times New Roman"/>
                <w:color w:val="000000"/>
                <w:szCs w:val="24"/>
                <w:lang w:eastAsia="bg-BG" w:bidi="bg-BG"/>
              </w:rPr>
              <w:t>8 250 000</w:t>
            </w:r>
          </w:p>
        </w:tc>
        <w:tc>
          <w:tcPr>
            <w:tcW w:w="2021" w:type="dxa"/>
            <w:tcBorders>
              <w:top w:val="single" w:sz="4" w:space="0" w:color="auto"/>
              <w:left w:val="single" w:sz="4" w:space="0" w:color="auto"/>
              <w:right w:val="single" w:sz="4" w:space="0" w:color="auto"/>
            </w:tcBorders>
            <w:vAlign w:val="center"/>
          </w:tcPr>
          <w:p w14:paraId="643F55FC" w14:textId="219A5742"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€ 1</w:t>
            </w:r>
            <w:r w:rsidR="00FA08FE" w:rsidRPr="00876122">
              <w:rPr>
                <w:rFonts w:eastAsia="Times New Roman"/>
                <w:color w:val="000000"/>
                <w:szCs w:val="24"/>
                <w:lang w:eastAsia="bg-BG" w:bidi="bg-BG"/>
              </w:rPr>
              <w:t>6</w:t>
            </w:r>
            <w:r w:rsidRPr="00876122">
              <w:rPr>
                <w:rFonts w:eastAsia="Times New Roman"/>
                <w:color w:val="000000"/>
                <w:szCs w:val="24"/>
                <w:lang w:eastAsia="bg-BG" w:bidi="bg-BG"/>
              </w:rPr>
              <w:t xml:space="preserve"> </w:t>
            </w:r>
            <w:r w:rsidR="00FA08FE" w:rsidRPr="00876122">
              <w:rPr>
                <w:rFonts w:eastAsia="Times New Roman"/>
                <w:color w:val="000000"/>
                <w:szCs w:val="24"/>
                <w:lang w:eastAsia="bg-BG" w:bidi="bg-BG"/>
              </w:rPr>
              <w:t>50</w:t>
            </w:r>
            <w:r w:rsidRPr="00876122">
              <w:rPr>
                <w:rFonts w:eastAsia="Times New Roman"/>
                <w:color w:val="000000"/>
                <w:szCs w:val="24"/>
                <w:lang w:eastAsia="bg-BG" w:bidi="bg-BG"/>
              </w:rPr>
              <w:t>0 000</w:t>
            </w:r>
          </w:p>
        </w:tc>
      </w:tr>
      <w:tr w:rsidR="00F47FDE" w:rsidRPr="00876122" w14:paraId="73F30CA8" w14:textId="77777777" w:rsidTr="00EC0AFD">
        <w:trPr>
          <w:trHeight w:hRule="exact" w:val="384"/>
          <w:jc w:val="center"/>
        </w:trPr>
        <w:tc>
          <w:tcPr>
            <w:tcW w:w="4073" w:type="dxa"/>
            <w:tcBorders>
              <w:top w:val="single" w:sz="4" w:space="0" w:color="auto"/>
              <w:left w:val="single" w:sz="4" w:space="0" w:color="auto"/>
            </w:tcBorders>
            <w:vAlign w:val="center"/>
          </w:tcPr>
          <w:p w14:paraId="661E8168"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r w:rsidRPr="00876122">
              <w:rPr>
                <w:rFonts w:eastAsia="Times New Roman"/>
                <w:color w:val="000000"/>
                <w:szCs w:val="24"/>
                <w:lang w:eastAsia="hr-HR" w:bidi="hr-HR"/>
              </w:rPr>
              <w:t xml:space="preserve">Judicial training </w:t>
            </w:r>
            <w:r w:rsidRPr="00876122">
              <w:rPr>
                <w:rFonts w:eastAsia="Times New Roman"/>
                <w:color w:val="000000"/>
                <w:szCs w:val="24"/>
                <w:lang w:eastAsia="bg-BG" w:bidi="bg-BG"/>
              </w:rPr>
              <w:t>– 07 07 02</w:t>
            </w:r>
          </w:p>
        </w:tc>
        <w:tc>
          <w:tcPr>
            <w:tcW w:w="1488" w:type="dxa"/>
            <w:tcBorders>
              <w:top w:val="single" w:sz="4" w:space="0" w:color="auto"/>
              <w:left w:val="single" w:sz="4" w:space="0" w:color="auto"/>
            </w:tcBorders>
            <w:vAlign w:val="center"/>
          </w:tcPr>
          <w:p w14:paraId="3B575636" w14:textId="24A19A18"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€ 15 5</w:t>
            </w:r>
            <w:r w:rsidR="00FA08FE" w:rsidRPr="00876122">
              <w:rPr>
                <w:rFonts w:eastAsia="Times New Roman"/>
                <w:color w:val="000000"/>
                <w:szCs w:val="24"/>
                <w:lang w:eastAsia="bg-BG" w:bidi="bg-BG"/>
              </w:rPr>
              <w:t>00</w:t>
            </w:r>
            <w:r w:rsidRPr="00876122">
              <w:rPr>
                <w:rFonts w:eastAsia="Times New Roman"/>
                <w:color w:val="000000"/>
                <w:szCs w:val="24"/>
                <w:lang w:eastAsia="bg-BG" w:bidi="bg-BG"/>
              </w:rPr>
              <w:t xml:space="preserve"> 000</w:t>
            </w:r>
          </w:p>
        </w:tc>
        <w:tc>
          <w:tcPr>
            <w:tcW w:w="1632" w:type="dxa"/>
            <w:tcBorders>
              <w:top w:val="single" w:sz="4" w:space="0" w:color="auto"/>
              <w:left w:val="single" w:sz="4" w:space="0" w:color="auto"/>
            </w:tcBorders>
            <w:vAlign w:val="center"/>
          </w:tcPr>
          <w:p w14:paraId="209330E2" w14:textId="1895A944"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€ 15 275 000</w:t>
            </w:r>
          </w:p>
        </w:tc>
        <w:tc>
          <w:tcPr>
            <w:tcW w:w="2021" w:type="dxa"/>
            <w:tcBorders>
              <w:top w:val="single" w:sz="4" w:space="0" w:color="auto"/>
              <w:left w:val="single" w:sz="4" w:space="0" w:color="auto"/>
              <w:right w:val="single" w:sz="4" w:space="0" w:color="auto"/>
            </w:tcBorders>
            <w:vAlign w:val="center"/>
          </w:tcPr>
          <w:p w14:paraId="49C70AB8" w14:textId="61473AFC"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xml:space="preserve">€ 30 </w:t>
            </w:r>
            <w:r w:rsidR="00FA08FE" w:rsidRPr="00876122">
              <w:rPr>
                <w:rFonts w:eastAsia="Times New Roman"/>
                <w:color w:val="000000"/>
                <w:szCs w:val="24"/>
                <w:lang w:eastAsia="bg-BG" w:bidi="bg-BG"/>
              </w:rPr>
              <w:t>775</w:t>
            </w:r>
            <w:r w:rsidRPr="00876122">
              <w:rPr>
                <w:rFonts w:eastAsia="Times New Roman"/>
                <w:color w:val="000000"/>
                <w:szCs w:val="24"/>
                <w:lang w:eastAsia="bg-BG" w:bidi="bg-BG"/>
              </w:rPr>
              <w:t xml:space="preserve"> 000</w:t>
            </w:r>
          </w:p>
        </w:tc>
      </w:tr>
      <w:tr w:rsidR="00F47FDE" w:rsidRPr="00876122" w14:paraId="7E9E52D1" w14:textId="77777777" w:rsidTr="00EC0AFD">
        <w:trPr>
          <w:trHeight w:hRule="exact" w:val="384"/>
          <w:jc w:val="center"/>
        </w:trPr>
        <w:tc>
          <w:tcPr>
            <w:tcW w:w="4073" w:type="dxa"/>
            <w:tcBorders>
              <w:top w:val="single" w:sz="4" w:space="0" w:color="auto"/>
              <w:left w:val="single" w:sz="4" w:space="0" w:color="auto"/>
            </w:tcBorders>
            <w:vAlign w:val="center"/>
          </w:tcPr>
          <w:p w14:paraId="4E3984BD"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r w:rsidRPr="00876122">
              <w:rPr>
                <w:rFonts w:eastAsia="Times New Roman"/>
                <w:color w:val="000000"/>
                <w:szCs w:val="24"/>
                <w:lang w:eastAsia="hr-HR" w:bidi="hr-HR"/>
              </w:rPr>
              <w:t xml:space="preserve">Access to justice </w:t>
            </w:r>
            <w:r w:rsidRPr="00876122">
              <w:rPr>
                <w:rFonts w:eastAsia="Times New Roman"/>
                <w:color w:val="000000"/>
                <w:szCs w:val="24"/>
                <w:lang w:eastAsia="bg-BG" w:bidi="bg-BG"/>
              </w:rPr>
              <w:t>– 07 07 03</w:t>
            </w:r>
          </w:p>
        </w:tc>
        <w:tc>
          <w:tcPr>
            <w:tcW w:w="1488" w:type="dxa"/>
            <w:tcBorders>
              <w:top w:val="single" w:sz="4" w:space="0" w:color="auto"/>
              <w:left w:val="single" w:sz="4" w:space="0" w:color="auto"/>
            </w:tcBorders>
            <w:vAlign w:val="center"/>
          </w:tcPr>
          <w:p w14:paraId="0FA61C4E" w14:textId="1792D4CC"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xml:space="preserve">€ 7 </w:t>
            </w:r>
            <w:r w:rsidR="00FA08FE" w:rsidRPr="00876122">
              <w:rPr>
                <w:rFonts w:eastAsia="Times New Roman"/>
                <w:color w:val="000000"/>
                <w:szCs w:val="24"/>
                <w:lang w:eastAsia="bg-BG" w:bidi="bg-BG"/>
              </w:rPr>
              <w:t>70</w:t>
            </w:r>
            <w:r w:rsidRPr="00876122">
              <w:rPr>
                <w:rFonts w:eastAsia="Times New Roman"/>
                <w:color w:val="000000"/>
                <w:szCs w:val="24"/>
                <w:lang w:eastAsia="bg-BG" w:bidi="bg-BG"/>
              </w:rPr>
              <w:t>0 000</w:t>
            </w:r>
          </w:p>
        </w:tc>
        <w:tc>
          <w:tcPr>
            <w:tcW w:w="1632" w:type="dxa"/>
            <w:tcBorders>
              <w:top w:val="single" w:sz="4" w:space="0" w:color="auto"/>
              <w:left w:val="single" w:sz="4" w:space="0" w:color="auto"/>
            </w:tcBorders>
            <w:vAlign w:val="center"/>
          </w:tcPr>
          <w:p w14:paraId="7298A769" w14:textId="27AB822E"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xml:space="preserve">€ </w:t>
            </w:r>
            <w:r w:rsidR="00FA08FE" w:rsidRPr="00876122">
              <w:rPr>
                <w:rFonts w:eastAsia="Times New Roman"/>
                <w:color w:val="000000"/>
                <w:szCs w:val="24"/>
                <w:lang w:eastAsia="bg-BG" w:bidi="bg-BG"/>
              </w:rPr>
              <w:t>7 700 000</w:t>
            </w:r>
          </w:p>
        </w:tc>
        <w:tc>
          <w:tcPr>
            <w:tcW w:w="2021" w:type="dxa"/>
            <w:tcBorders>
              <w:top w:val="single" w:sz="4" w:space="0" w:color="auto"/>
              <w:left w:val="single" w:sz="4" w:space="0" w:color="auto"/>
              <w:right w:val="single" w:sz="4" w:space="0" w:color="auto"/>
            </w:tcBorders>
            <w:vAlign w:val="center"/>
          </w:tcPr>
          <w:p w14:paraId="655B677F" w14:textId="241825FC"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color w:val="000000"/>
                <w:szCs w:val="24"/>
                <w:lang w:eastAsia="bg-BG" w:bidi="bg-BG"/>
              </w:rPr>
              <w:t xml:space="preserve">€ 15 </w:t>
            </w:r>
            <w:r w:rsidR="00FA08FE" w:rsidRPr="00876122">
              <w:rPr>
                <w:rFonts w:eastAsia="Times New Roman"/>
                <w:color w:val="000000"/>
                <w:szCs w:val="24"/>
                <w:lang w:eastAsia="bg-BG" w:bidi="bg-BG"/>
              </w:rPr>
              <w:t>40</w:t>
            </w:r>
            <w:r w:rsidRPr="00876122">
              <w:rPr>
                <w:rFonts w:eastAsia="Times New Roman"/>
                <w:color w:val="000000"/>
                <w:szCs w:val="24"/>
                <w:lang w:eastAsia="bg-BG" w:bidi="bg-BG"/>
              </w:rPr>
              <w:t>0 000</w:t>
            </w:r>
          </w:p>
        </w:tc>
      </w:tr>
      <w:tr w:rsidR="00F47FDE" w:rsidRPr="00876122" w14:paraId="31853327" w14:textId="77777777" w:rsidTr="00EC0AFD">
        <w:trPr>
          <w:trHeight w:hRule="exact" w:val="394"/>
          <w:jc w:val="center"/>
        </w:trPr>
        <w:tc>
          <w:tcPr>
            <w:tcW w:w="4073" w:type="dxa"/>
            <w:tcBorders>
              <w:top w:val="single" w:sz="4" w:space="0" w:color="auto"/>
              <w:left w:val="single" w:sz="4" w:space="0" w:color="auto"/>
              <w:bottom w:val="single" w:sz="4" w:space="0" w:color="auto"/>
            </w:tcBorders>
            <w:vAlign w:val="center"/>
          </w:tcPr>
          <w:p w14:paraId="1ADC1A68"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r w:rsidRPr="00876122">
              <w:rPr>
                <w:rFonts w:eastAsia="Times New Roman"/>
                <w:b/>
                <w:bCs/>
                <w:color w:val="000000"/>
                <w:szCs w:val="24"/>
                <w:lang w:eastAsia="hr-HR" w:bidi="hr-HR"/>
              </w:rPr>
              <w:t>Total</w:t>
            </w:r>
          </w:p>
        </w:tc>
        <w:tc>
          <w:tcPr>
            <w:tcW w:w="1488" w:type="dxa"/>
            <w:tcBorders>
              <w:top w:val="single" w:sz="4" w:space="0" w:color="auto"/>
              <w:left w:val="single" w:sz="4" w:space="0" w:color="auto"/>
              <w:bottom w:val="single" w:sz="4" w:space="0" w:color="auto"/>
            </w:tcBorders>
            <w:vAlign w:val="center"/>
          </w:tcPr>
          <w:p w14:paraId="08EDD2A3" w14:textId="3730C086"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b/>
                <w:bCs/>
                <w:color w:val="000000"/>
                <w:szCs w:val="24"/>
                <w:lang w:eastAsia="bg-BG" w:bidi="bg-BG"/>
              </w:rPr>
              <w:t xml:space="preserve">€ </w:t>
            </w:r>
            <w:r w:rsidR="00FA08FE" w:rsidRPr="00876122">
              <w:rPr>
                <w:rFonts w:eastAsia="Times New Roman"/>
                <w:b/>
                <w:bCs/>
                <w:color w:val="000000"/>
                <w:szCs w:val="24"/>
                <w:lang w:eastAsia="bg-BG" w:bidi="bg-BG"/>
              </w:rPr>
              <w:t>31</w:t>
            </w:r>
            <w:r w:rsidRPr="00876122">
              <w:rPr>
                <w:rFonts w:eastAsia="Times New Roman"/>
                <w:b/>
                <w:bCs/>
                <w:color w:val="000000"/>
                <w:szCs w:val="24"/>
                <w:lang w:eastAsia="bg-BG" w:bidi="bg-BG"/>
              </w:rPr>
              <w:t xml:space="preserve"> </w:t>
            </w:r>
            <w:r w:rsidR="00FA08FE" w:rsidRPr="00876122">
              <w:rPr>
                <w:rFonts w:eastAsia="Times New Roman"/>
                <w:b/>
                <w:bCs/>
                <w:color w:val="000000"/>
                <w:szCs w:val="24"/>
                <w:lang w:eastAsia="bg-BG" w:bidi="bg-BG"/>
              </w:rPr>
              <w:t>450</w:t>
            </w:r>
            <w:r w:rsidRPr="00876122">
              <w:rPr>
                <w:rFonts w:eastAsia="Times New Roman"/>
                <w:b/>
                <w:bCs/>
                <w:color w:val="000000"/>
                <w:szCs w:val="24"/>
                <w:lang w:eastAsia="bg-BG" w:bidi="bg-BG"/>
              </w:rPr>
              <w:t xml:space="preserve"> 000</w:t>
            </w:r>
          </w:p>
        </w:tc>
        <w:tc>
          <w:tcPr>
            <w:tcW w:w="1632" w:type="dxa"/>
            <w:tcBorders>
              <w:top w:val="single" w:sz="4" w:space="0" w:color="auto"/>
              <w:left w:val="single" w:sz="4" w:space="0" w:color="auto"/>
              <w:bottom w:val="single" w:sz="4" w:space="0" w:color="auto"/>
            </w:tcBorders>
            <w:vAlign w:val="center"/>
          </w:tcPr>
          <w:p w14:paraId="26B67C4D" w14:textId="235D2E51"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b/>
                <w:bCs/>
                <w:color w:val="000000"/>
                <w:szCs w:val="24"/>
                <w:lang w:eastAsia="bg-BG" w:bidi="bg-BG"/>
              </w:rPr>
              <w:t xml:space="preserve">€ </w:t>
            </w:r>
            <w:r w:rsidR="00FA08FE" w:rsidRPr="00876122">
              <w:rPr>
                <w:rFonts w:eastAsia="Times New Roman"/>
                <w:b/>
                <w:bCs/>
                <w:color w:val="000000"/>
                <w:szCs w:val="24"/>
                <w:lang w:eastAsia="bg-BG" w:bidi="bg-BG"/>
              </w:rPr>
              <w:t>31</w:t>
            </w:r>
            <w:r w:rsidRPr="00876122">
              <w:rPr>
                <w:rFonts w:eastAsia="Times New Roman"/>
                <w:b/>
                <w:bCs/>
                <w:color w:val="000000"/>
                <w:szCs w:val="24"/>
                <w:lang w:eastAsia="bg-BG" w:bidi="bg-BG"/>
              </w:rPr>
              <w:t xml:space="preserve"> </w:t>
            </w:r>
            <w:r w:rsidR="00FA08FE" w:rsidRPr="00876122">
              <w:rPr>
                <w:rFonts w:eastAsia="Times New Roman"/>
                <w:b/>
                <w:bCs/>
                <w:color w:val="000000"/>
                <w:szCs w:val="24"/>
                <w:lang w:eastAsia="bg-BG" w:bidi="bg-BG"/>
              </w:rPr>
              <w:t>22</w:t>
            </w:r>
            <w:r w:rsidRPr="00876122">
              <w:rPr>
                <w:rFonts w:eastAsia="Times New Roman"/>
                <w:b/>
                <w:bCs/>
                <w:color w:val="000000"/>
                <w:szCs w:val="24"/>
                <w:lang w:eastAsia="bg-BG" w:bidi="bg-BG"/>
              </w:rPr>
              <w:t>5 000</w:t>
            </w:r>
          </w:p>
        </w:tc>
        <w:tc>
          <w:tcPr>
            <w:tcW w:w="2021" w:type="dxa"/>
            <w:tcBorders>
              <w:top w:val="single" w:sz="4" w:space="0" w:color="auto"/>
              <w:left w:val="single" w:sz="4" w:space="0" w:color="auto"/>
              <w:bottom w:val="single" w:sz="4" w:space="0" w:color="auto"/>
              <w:right w:val="single" w:sz="4" w:space="0" w:color="auto"/>
            </w:tcBorders>
            <w:vAlign w:val="center"/>
          </w:tcPr>
          <w:p w14:paraId="41CB5B95" w14:textId="061314F4" w:rsidR="00F47FDE" w:rsidRPr="00876122" w:rsidRDefault="00F47FDE" w:rsidP="00FA563B">
            <w:pPr>
              <w:widowControl w:val="0"/>
              <w:shd w:val="clear" w:color="auto" w:fill="FFFFFF"/>
              <w:spacing w:before="0" w:after="0"/>
              <w:ind w:right="80"/>
              <w:jc w:val="right"/>
              <w:rPr>
                <w:rFonts w:eastAsia="Times New Roman"/>
                <w:color w:val="000000"/>
                <w:szCs w:val="24"/>
                <w:lang w:eastAsia="hr-HR" w:bidi="hr-HR"/>
              </w:rPr>
            </w:pPr>
            <w:r w:rsidRPr="00876122">
              <w:rPr>
                <w:rFonts w:eastAsia="Times New Roman"/>
                <w:b/>
                <w:bCs/>
                <w:color w:val="000000"/>
                <w:szCs w:val="24"/>
                <w:lang w:eastAsia="bg-BG" w:bidi="bg-BG"/>
              </w:rPr>
              <w:t xml:space="preserve">€ </w:t>
            </w:r>
            <w:r w:rsidR="00FA08FE" w:rsidRPr="00876122">
              <w:rPr>
                <w:rFonts w:eastAsia="Times New Roman"/>
                <w:b/>
                <w:bCs/>
                <w:color w:val="000000"/>
                <w:szCs w:val="24"/>
                <w:lang w:eastAsia="bg-BG" w:bidi="bg-BG"/>
              </w:rPr>
              <w:t>62</w:t>
            </w:r>
            <w:r w:rsidRPr="00876122">
              <w:rPr>
                <w:rFonts w:eastAsia="Times New Roman"/>
                <w:b/>
                <w:bCs/>
                <w:color w:val="000000"/>
                <w:szCs w:val="24"/>
                <w:lang w:eastAsia="bg-BG" w:bidi="bg-BG"/>
              </w:rPr>
              <w:t xml:space="preserve"> </w:t>
            </w:r>
            <w:r w:rsidR="00FA08FE" w:rsidRPr="00876122">
              <w:rPr>
                <w:rFonts w:eastAsia="Times New Roman"/>
                <w:b/>
                <w:bCs/>
                <w:color w:val="000000"/>
                <w:szCs w:val="24"/>
                <w:lang w:eastAsia="bg-BG" w:bidi="bg-BG"/>
              </w:rPr>
              <w:t>675</w:t>
            </w:r>
            <w:r w:rsidRPr="00876122">
              <w:rPr>
                <w:rFonts w:eastAsia="Times New Roman"/>
                <w:b/>
                <w:bCs/>
                <w:color w:val="000000"/>
                <w:szCs w:val="24"/>
                <w:lang w:eastAsia="bg-BG" w:bidi="bg-BG"/>
              </w:rPr>
              <w:t xml:space="preserve"> 000</w:t>
            </w:r>
          </w:p>
        </w:tc>
      </w:tr>
    </w:tbl>
    <w:p w14:paraId="5E0838B5" w14:textId="77777777" w:rsidR="00F47FDE" w:rsidRPr="00876122" w:rsidRDefault="00F47FDE" w:rsidP="00F47FDE">
      <w:pPr>
        <w:widowControl w:val="0"/>
        <w:shd w:val="clear" w:color="auto" w:fill="FFFFFF"/>
        <w:spacing w:before="0" w:after="500"/>
        <w:jc w:val="left"/>
        <w:rPr>
          <w:rFonts w:eastAsia="Times New Roman"/>
          <w:color w:val="000000"/>
          <w:szCs w:val="24"/>
          <w:lang w:eastAsia="hr-HR" w:bidi="hr-HR"/>
        </w:rPr>
      </w:pPr>
    </w:p>
    <w:p w14:paraId="7C7453EA" w14:textId="542D7242" w:rsidR="00F47FDE" w:rsidRPr="00876122" w:rsidRDefault="00F47FDE" w:rsidP="00FA563B">
      <w:pPr>
        <w:pStyle w:val="Heading2"/>
        <w:rPr>
          <w:rFonts w:eastAsia="Times New Roman"/>
          <w:lang w:eastAsia="hr-HR" w:bidi="hr-HR"/>
        </w:rPr>
      </w:pPr>
      <w:bookmarkStart w:id="18" w:name="bookmark61"/>
      <w:bookmarkStart w:id="19" w:name="_Toc205461082"/>
      <w:r w:rsidRPr="00876122">
        <w:rPr>
          <w:rFonts w:eastAsia="Times New Roman"/>
          <w:lang w:eastAsia="hr-HR" w:bidi="hr-HR"/>
        </w:rPr>
        <w:t>Call for proposals for action grants to promote judicial cooperation in civil and criminal matters</w:t>
      </w:r>
      <w:bookmarkEnd w:id="18"/>
      <w:bookmarkEnd w:id="19"/>
    </w:p>
    <w:p w14:paraId="15C421E2" w14:textId="77777777" w:rsidR="00F47FDE" w:rsidRPr="00876122" w:rsidRDefault="00F47FDE" w:rsidP="00F47FDE">
      <w:pPr>
        <w:widowControl w:val="0"/>
        <w:shd w:val="clear" w:color="auto" w:fill="FFFFFF"/>
        <w:spacing w:before="0" w:after="260" w:line="290"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p w14:paraId="2054A7E8" w14:textId="42ECA53F"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rPr>
          <w:rFonts w:eastAsia="Times New Roman"/>
          <w:color w:val="000000"/>
          <w:szCs w:val="24"/>
          <w:lang w:eastAsia="hr-HR" w:bidi="hr-HR"/>
        </w:rPr>
      </w:pPr>
      <w:r w:rsidRPr="00876122">
        <w:rPr>
          <w:rFonts w:eastAsia="Times New Roman"/>
          <w:color w:val="000000"/>
          <w:szCs w:val="24"/>
          <w:lang w:eastAsia="hr-HR" w:bidi="hr-HR"/>
        </w:rPr>
        <w:t xml:space="preserve">Art. 3(2)(a) and Art. </w:t>
      </w:r>
      <w:r w:rsidRPr="00876122">
        <w:rPr>
          <w:rFonts w:eastAsia="Times New Roman"/>
          <w:color w:val="000000"/>
          <w:szCs w:val="24"/>
          <w:lang w:eastAsia="bg-BG" w:bidi="bg-BG"/>
        </w:rPr>
        <w:t xml:space="preserve">9 </w:t>
      </w:r>
      <w:r w:rsidRPr="00876122">
        <w:rPr>
          <w:rFonts w:eastAsia="Times New Roman"/>
          <w:color w:val="000000"/>
          <w:szCs w:val="24"/>
          <w:lang w:eastAsia="hr-HR" w:bidi="hr-HR"/>
        </w:rPr>
        <w:t xml:space="preserve">Regulation (EU) </w:t>
      </w:r>
      <w:r w:rsidRPr="00876122">
        <w:rPr>
          <w:rFonts w:eastAsia="Times New Roman"/>
          <w:color w:val="000000"/>
          <w:szCs w:val="24"/>
          <w:lang w:eastAsia="bg-BG" w:bidi="bg-BG"/>
        </w:rPr>
        <w:t xml:space="preserve">2021/693 </w:t>
      </w:r>
      <w:r w:rsidRPr="00876122">
        <w:rPr>
          <w:rFonts w:eastAsia="Times New Roman"/>
          <w:color w:val="000000"/>
          <w:szCs w:val="24"/>
          <w:lang w:eastAsia="hr-HR" w:bidi="hr-HR"/>
        </w:rPr>
        <w:t xml:space="preserve">of the European Parliament and of the Council of </w:t>
      </w:r>
      <w:r w:rsidRPr="00876122">
        <w:rPr>
          <w:rFonts w:eastAsia="Times New Roman"/>
          <w:color w:val="000000"/>
          <w:szCs w:val="24"/>
          <w:lang w:eastAsia="bg-BG" w:bidi="bg-BG"/>
        </w:rPr>
        <w:t xml:space="preserve">28 </w:t>
      </w:r>
      <w:r w:rsidRPr="00876122">
        <w:rPr>
          <w:rFonts w:eastAsia="Times New Roman"/>
          <w:color w:val="000000"/>
          <w:szCs w:val="24"/>
          <w:lang w:eastAsia="hr-HR" w:bidi="hr-HR"/>
        </w:rPr>
        <w:t xml:space="preserve">April </w:t>
      </w:r>
      <w:r w:rsidRPr="00876122">
        <w:rPr>
          <w:rFonts w:eastAsia="Times New Roman"/>
          <w:color w:val="000000"/>
          <w:szCs w:val="24"/>
          <w:lang w:eastAsia="bg-BG" w:bidi="bg-BG"/>
        </w:rPr>
        <w:t xml:space="preserve">2021 </w:t>
      </w:r>
      <w:r w:rsidRPr="00876122">
        <w:rPr>
          <w:rFonts w:eastAsia="Times New Roman"/>
          <w:color w:val="000000"/>
          <w:szCs w:val="24"/>
          <w:lang w:eastAsia="hr-HR" w:bidi="hr-HR"/>
        </w:rPr>
        <w:t xml:space="preserve">establishing the Justice </w:t>
      </w:r>
      <w:r w:rsidR="000C632E">
        <w:rPr>
          <w:rFonts w:eastAsia="Times New Roman"/>
          <w:color w:val="000000"/>
          <w:szCs w:val="24"/>
          <w:lang w:eastAsia="hr-HR" w:bidi="hr-HR"/>
        </w:rPr>
        <w:t>p</w:t>
      </w:r>
      <w:r w:rsidRPr="00876122">
        <w:rPr>
          <w:rFonts w:eastAsia="Times New Roman"/>
          <w:color w:val="000000"/>
          <w:szCs w:val="24"/>
          <w:lang w:eastAsia="hr-HR" w:bidi="hr-HR"/>
        </w:rPr>
        <w:t xml:space="preserve">rogramme and repealing Regulation (EU) No </w:t>
      </w:r>
      <w:r w:rsidRPr="00876122">
        <w:rPr>
          <w:rFonts w:eastAsia="Times New Roman"/>
          <w:color w:val="000000"/>
          <w:szCs w:val="24"/>
          <w:lang w:eastAsia="bg-BG" w:bidi="bg-BG"/>
        </w:rPr>
        <w:t>1382/2013</w:t>
      </w:r>
    </w:p>
    <w:p w14:paraId="6ABA29B9"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02DF9220"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01: </w:t>
      </w:r>
      <w:r w:rsidRPr="00876122">
        <w:rPr>
          <w:rFonts w:eastAsia="Times New Roman"/>
          <w:color w:val="000000"/>
          <w:szCs w:val="24"/>
          <w:lang w:eastAsia="hr-HR" w:bidi="hr-HR"/>
        </w:rPr>
        <w:t>Promoting judicial cooperation</w:t>
      </w:r>
    </w:p>
    <w:p w14:paraId="55F58906"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47969C40" w14:textId="00E7012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rPr>
          <w:rFonts w:eastAsia="Times New Roman"/>
          <w:color w:val="000000"/>
          <w:szCs w:val="24"/>
          <w:lang w:eastAsia="hr-HR" w:bidi="hr-HR"/>
        </w:rPr>
      </w:pPr>
      <w:r w:rsidRPr="00876122">
        <w:rPr>
          <w:rFonts w:eastAsia="Times New Roman"/>
          <w:color w:val="000000"/>
          <w:szCs w:val="24"/>
          <w:lang w:eastAsia="hr-HR" w:bidi="hr-HR"/>
        </w:rPr>
        <w:t>Facilitate</w:t>
      </w:r>
      <w:bookmarkStart w:id="20" w:name="_Hlk191556743"/>
      <w:r w:rsidRPr="00876122">
        <w:rPr>
          <w:rFonts w:eastAsia="Times New Roman"/>
          <w:color w:val="000000"/>
          <w:szCs w:val="24"/>
          <w:lang w:eastAsia="hr-HR" w:bidi="hr-HR"/>
        </w:rPr>
        <w:t xml:space="preserve"> and support judicial cooperation in civil and criminal matters, and promote the rule of law, independence and impartiality of the judiciary, including by supporting the efforts to improve the </w:t>
      </w:r>
      <w:bookmarkEnd w:id="20"/>
      <w:r w:rsidRPr="00876122">
        <w:rPr>
          <w:rFonts w:eastAsia="Times New Roman"/>
          <w:color w:val="000000"/>
          <w:szCs w:val="24"/>
          <w:lang w:eastAsia="hr-HR" w:bidi="hr-HR"/>
        </w:rPr>
        <w:t>effectiveness of national justice systems, and the effective enforcement of decisions.</w:t>
      </w:r>
    </w:p>
    <w:p w14:paraId="77F51166" w14:textId="77777777" w:rsidR="00F47FDE" w:rsidRPr="00876122" w:rsidRDefault="00F47FDE" w:rsidP="00FA563B">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Type of applicants targeted</w:t>
      </w:r>
    </w:p>
    <w:tbl>
      <w:tblPr>
        <w:tblStyle w:val="TableGrid"/>
        <w:tblW w:w="0" w:type="auto"/>
        <w:tblInd w:w="108" w:type="dxa"/>
        <w:tblLook w:val="04A0" w:firstRow="1" w:lastRow="0" w:firstColumn="1" w:lastColumn="0" w:noHBand="0" w:noVBand="1"/>
      </w:tblPr>
      <w:tblGrid>
        <w:gridCol w:w="9356"/>
      </w:tblGrid>
      <w:tr w:rsidR="00F47FDE" w:rsidRPr="00876122" w14:paraId="38566D6C" w14:textId="77777777" w:rsidTr="00EC0AFD">
        <w:trPr>
          <w:trHeight w:val="758"/>
        </w:trPr>
        <w:tc>
          <w:tcPr>
            <w:tcW w:w="9356" w:type="dxa"/>
          </w:tcPr>
          <w:p w14:paraId="7002D823" w14:textId="77777777" w:rsidR="00F47FDE" w:rsidRPr="00876122" w:rsidRDefault="00F47FDE" w:rsidP="00F47FDE">
            <w:pPr>
              <w:shd w:val="clear" w:color="auto" w:fill="FFFFFF"/>
              <w:spacing w:before="0" w:after="500"/>
              <w:rPr>
                <w:color w:val="000000"/>
              </w:rPr>
            </w:pPr>
            <w:r w:rsidRPr="00876122">
              <w:rPr>
                <w:b/>
                <w:bCs/>
                <w:color w:val="000000"/>
              </w:rPr>
              <w:t xml:space="preserve">For priorities </w:t>
            </w:r>
            <w:r w:rsidRPr="00876122">
              <w:rPr>
                <w:b/>
                <w:bCs/>
                <w:color w:val="000000"/>
                <w:lang w:eastAsia="bg-BG" w:bidi="bg-BG"/>
              </w:rPr>
              <w:t xml:space="preserve">1 </w:t>
            </w:r>
            <w:r w:rsidRPr="00876122">
              <w:rPr>
                <w:b/>
                <w:bCs/>
                <w:color w:val="000000"/>
              </w:rPr>
              <w:t xml:space="preserve">(judicial cooperation in civil matters) and </w:t>
            </w:r>
            <w:r w:rsidRPr="00876122">
              <w:rPr>
                <w:b/>
                <w:bCs/>
                <w:color w:val="000000"/>
                <w:lang w:eastAsia="bg-BG" w:bidi="bg-BG"/>
              </w:rPr>
              <w:t xml:space="preserve">2 </w:t>
            </w:r>
            <w:r w:rsidRPr="00876122">
              <w:rPr>
                <w:b/>
                <w:bCs/>
                <w:color w:val="000000"/>
              </w:rPr>
              <w:t>(judicial cooperation in criminal matters), legal entities such as:</w:t>
            </w:r>
          </w:p>
          <w:p w14:paraId="382AA529" w14:textId="28CFA9CE" w:rsidR="00F47FDE" w:rsidRPr="00876122" w:rsidRDefault="00F47FDE" w:rsidP="00EC2721">
            <w:pPr>
              <w:numPr>
                <w:ilvl w:val="0"/>
                <w:numId w:val="1"/>
              </w:numPr>
              <w:shd w:val="clear" w:color="auto" w:fill="FFFFFF"/>
              <w:tabs>
                <w:tab w:val="left" w:pos="355"/>
              </w:tabs>
              <w:spacing w:before="0" w:after="0"/>
              <w:jc w:val="left"/>
              <w:rPr>
                <w:color w:val="000000"/>
              </w:rPr>
            </w:pPr>
            <w:r w:rsidRPr="00876122">
              <w:rPr>
                <w:color w:val="000000"/>
              </w:rPr>
              <w:t xml:space="preserve">Public </w:t>
            </w:r>
            <w:proofErr w:type="gramStart"/>
            <w:r w:rsidRPr="00876122">
              <w:rPr>
                <w:color w:val="000000"/>
              </w:rPr>
              <w:t>bodies</w:t>
            </w:r>
            <w:r w:rsidR="00F63054">
              <w:rPr>
                <w:color w:val="000000"/>
              </w:rPr>
              <w:t>;</w:t>
            </w:r>
            <w:proofErr w:type="gramEnd"/>
          </w:p>
          <w:p w14:paraId="570EE5D8" w14:textId="1BD80199" w:rsidR="00F47FDE" w:rsidRPr="00876122" w:rsidRDefault="00F47FDE">
            <w:pPr>
              <w:numPr>
                <w:ilvl w:val="0"/>
                <w:numId w:val="1"/>
              </w:numPr>
              <w:shd w:val="clear" w:color="auto" w:fill="FFFFFF"/>
              <w:tabs>
                <w:tab w:val="left" w:pos="373"/>
              </w:tabs>
              <w:spacing w:before="0" w:after="0"/>
              <w:jc w:val="left"/>
              <w:rPr>
                <w:color w:val="000000"/>
              </w:rPr>
            </w:pPr>
            <w:r w:rsidRPr="00876122">
              <w:rPr>
                <w:color w:val="000000"/>
              </w:rPr>
              <w:t xml:space="preserve">Non-profit private </w:t>
            </w:r>
            <w:proofErr w:type="gramStart"/>
            <w:r w:rsidRPr="00876122">
              <w:rPr>
                <w:color w:val="000000"/>
              </w:rPr>
              <w:t>organisations</w:t>
            </w:r>
            <w:r w:rsidR="00F63054">
              <w:rPr>
                <w:color w:val="000000"/>
              </w:rPr>
              <w:t>;</w:t>
            </w:r>
            <w:proofErr w:type="gramEnd"/>
          </w:p>
          <w:p w14:paraId="71946209" w14:textId="061D69A0" w:rsidR="00F47FDE" w:rsidRPr="00876122" w:rsidRDefault="00F47FDE" w:rsidP="006D0DEC">
            <w:pPr>
              <w:numPr>
                <w:ilvl w:val="0"/>
                <w:numId w:val="1"/>
              </w:numPr>
              <w:shd w:val="clear" w:color="auto" w:fill="FFFFFF"/>
              <w:tabs>
                <w:tab w:val="left" w:pos="355"/>
                <w:tab w:val="left" w:pos="440"/>
              </w:tabs>
              <w:spacing w:before="0" w:after="0"/>
              <w:jc w:val="left"/>
              <w:rPr>
                <w:color w:val="000000"/>
              </w:rPr>
            </w:pPr>
            <w:r w:rsidRPr="00876122">
              <w:rPr>
                <w:color w:val="000000"/>
              </w:rPr>
              <w:t xml:space="preserve">International </w:t>
            </w:r>
            <w:proofErr w:type="gramStart"/>
            <w:r w:rsidRPr="00876122">
              <w:rPr>
                <w:color w:val="000000"/>
              </w:rPr>
              <w:t>organisations</w:t>
            </w:r>
            <w:r w:rsidR="00F63054">
              <w:rPr>
                <w:color w:val="000000"/>
              </w:rPr>
              <w:t>;</w:t>
            </w:r>
            <w:proofErr w:type="gramEnd"/>
          </w:p>
          <w:p w14:paraId="6481F9EA" w14:textId="3EDB6C79" w:rsidR="00F47FDE" w:rsidRPr="00876122" w:rsidRDefault="00F47FDE" w:rsidP="00D22C9B">
            <w:pPr>
              <w:numPr>
                <w:ilvl w:val="0"/>
                <w:numId w:val="1"/>
              </w:numPr>
              <w:shd w:val="clear" w:color="auto" w:fill="FFFFFF"/>
              <w:tabs>
                <w:tab w:val="left" w:pos="355"/>
                <w:tab w:val="left" w:pos="421"/>
              </w:tabs>
              <w:spacing w:before="0" w:after="280"/>
              <w:jc w:val="left"/>
              <w:rPr>
                <w:color w:val="000000"/>
              </w:rPr>
            </w:pPr>
            <w:r w:rsidRPr="00876122">
              <w:rPr>
                <w:color w:val="000000"/>
              </w:rPr>
              <w:t>Profit</w:t>
            </w:r>
            <w:r w:rsidR="00625E84">
              <w:rPr>
                <w:color w:val="000000"/>
              </w:rPr>
              <w:t>-making</w:t>
            </w:r>
            <w:r w:rsidRPr="00876122">
              <w:rPr>
                <w:color w:val="000000"/>
              </w:rPr>
              <w:t xml:space="preserve"> private entities.</w:t>
            </w:r>
          </w:p>
          <w:p w14:paraId="695D6F94" w14:textId="48C2027A" w:rsidR="00F47FDE" w:rsidRPr="00876122" w:rsidRDefault="00F47FDE" w:rsidP="00F47FDE">
            <w:pPr>
              <w:shd w:val="clear" w:color="auto" w:fill="FFFFFF"/>
              <w:spacing w:before="0" w:after="240"/>
              <w:rPr>
                <w:color w:val="000000"/>
              </w:rPr>
            </w:pPr>
            <w:r w:rsidRPr="00876122">
              <w:rPr>
                <w:b/>
                <w:bCs/>
                <w:color w:val="000000"/>
              </w:rPr>
              <w:t xml:space="preserve">For priority </w:t>
            </w:r>
            <w:r w:rsidRPr="00876122">
              <w:rPr>
                <w:b/>
                <w:bCs/>
                <w:color w:val="000000"/>
                <w:lang w:eastAsia="bg-BG" w:bidi="bg-BG"/>
              </w:rPr>
              <w:t xml:space="preserve">3 </w:t>
            </w:r>
            <w:r w:rsidRPr="00876122">
              <w:rPr>
                <w:b/>
                <w:bCs/>
                <w:color w:val="000000"/>
              </w:rPr>
              <w:t xml:space="preserve">(Support to Member States for the setting up and strengthening of national networks active </w:t>
            </w:r>
            <w:proofErr w:type="gramStart"/>
            <w:r w:rsidRPr="00876122">
              <w:rPr>
                <w:b/>
                <w:bCs/>
                <w:color w:val="000000"/>
              </w:rPr>
              <w:t>in the area of</w:t>
            </w:r>
            <w:proofErr w:type="gramEnd"/>
            <w:r w:rsidRPr="00876122">
              <w:rPr>
                <w:b/>
                <w:bCs/>
                <w:color w:val="000000"/>
              </w:rPr>
              <w:t xml:space="preserve"> judicial cooperation in civil and criminal matters):</w:t>
            </w:r>
          </w:p>
          <w:p w14:paraId="408E7E59" w14:textId="7A05BCBD" w:rsidR="00F47FDE" w:rsidRPr="00876122" w:rsidRDefault="00F47FDE" w:rsidP="00EC2721">
            <w:pPr>
              <w:numPr>
                <w:ilvl w:val="0"/>
                <w:numId w:val="2"/>
              </w:numPr>
              <w:shd w:val="clear" w:color="auto" w:fill="FFFFFF"/>
              <w:tabs>
                <w:tab w:val="left" w:pos="818"/>
              </w:tabs>
              <w:spacing w:before="0" w:after="0"/>
              <w:ind w:left="760" w:hanging="620"/>
              <w:jc w:val="left"/>
              <w:rPr>
                <w:color w:val="000000"/>
              </w:rPr>
            </w:pPr>
            <w:r w:rsidRPr="00876122">
              <w:rPr>
                <w:color w:val="000000"/>
              </w:rPr>
              <w:lastRenderedPageBreak/>
              <w:t xml:space="preserve">Officially appointed members of </w:t>
            </w:r>
            <w:r w:rsidR="007E4F7D">
              <w:rPr>
                <w:color w:val="000000"/>
              </w:rPr>
              <w:t xml:space="preserve">the </w:t>
            </w:r>
            <w:r w:rsidRPr="00876122">
              <w:rPr>
                <w:color w:val="000000"/>
              </w:rPr>
              <w:t xml:space="preserve">EJN in civil and commercial matters or national authorities, courts and professional associations representing the officially appointed members of EJN in civil and commercial </w:t>
            </w:r>
            <w:proofErr w:type="gramStart"/>
            <w:r w:rsidRPr="00876122">
              <w:rPr>
                <w:color w:val="000000"/>
              </w:rPr>
              <w:t>matters;</w:t>
            </w:r>
            <w:proofErr w:type="gramEnd"/>
          </w:p>
          <w:p w14:paraId="3591E04B" w14:textId="77777777" w:rsidR="00F47FDE" w:rsidRPr="00876122" w:rsidRDefault="00F47FDE" w:rsidP="00EC2721">
            <w:pPr>
              <w:numPr>
                <w:ilvl w:val="0"/>
                <w:numId w:val="2"/>
              </w:numPr>
              <w:shd w:val="clear" w:color="auto" w:fill="FFFFFF"/>
              <w:tabs>
                <w:tab w:val="left" w:pos="818"/>
              </w:tabs>
              <w:spacing w:before="0" w:after="440"/>
              <w:ind w:left="760" w:hanging="620"/>
              <w:jc w:val="left"/>
              <w:rPr>
                <w:color w:val="000000"/>
              </w:rPr>
            </w:pPr>
            <w:r w:rsidRPr="00876122">
              <w:rPr>
                <w:color w:val="000000"/>
              </w:rPr>
              <w:t xml:space="preserve">National authorities, courts, prosecution services </w:t>
            </w:r>
            <w:proofErr w:type="gramStart"/>
            <w:r w:rsidRPr="00876122">
              <w:rPr>
                <w:color w:val="000000"/>
              </w:rPr>
              <w:t>in the area of</w:t>
            </w:r>
            <w:proofErr w:type="gramEnd"/>
            <w:r w:rsidRPr="00876122">
              <w:rPr>
                <w:color w:val="000000"/>
              </w:rPr>
              <w:t xml:space="preserve"> criminal matters and professional associations representing them.</w:t>
            </w:r>
          </w:p>
        </w:tc>
      </w:tr>
    </w:tbl>
    <w:p w14:paraId="1D91EF41" w14:textId="333A02B8" w:rsidR="00F47FDE" w:rsidRPr="00876122" w:rsidRDefault="00F47FDE" w:rsidP="00FA563B">
      <w:pPr>
        <w:widowControl w:val="0"/>
        <w:shd w:val="clear" w:color="auto" w:fill="FFFFFF"/>
        <w:spacing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lastRenderedPageBreak/>
        <w:t>Policy priorities</w:t>
      </w:r>
    </w:p>
    <w:p w14:paraId="0F88DB10"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jc w:val="left"/>
        <w:rPr>
          <w:rFonts w:eastAsia="Times New Roman"/>
          <w:color w:val="000000"/>
          <w:szCs w:val="24"/>
          <w:lang w:eastAsia="hr-HR" w:bidi="hr-HR"/>
        </w:rPr>
      </w:pPr>
      <w:r w:rsidRPr="00876122">
        <w:rPr>
          <w:rFonts w:eastAsia="Times New Roman"/>
          <w:color w:val="000000"/>
          <w:szCs w:val="24"/>
          <w:lang w:eastAsia="hr-HR" w:bidi="hr-HR"/>
        </w:rPr>
        <w:t xml:space="preserve">The following priorities will be supported in </w:t>
      </w:r>
      <w:r w:rsidRPr="00876122">
        <w:rPr>
          <w:rFonts w:eastAsia="Times New Roman"/>
          <w:color w:val="000000"/>
          <w:szCs w:val="24"/>
          <w:lang w:eastAsia="bg-BG" w:bidi="bg-BG"/>
        </w:rPr>
        <w:t>2026 and 2027:</w:t>
      </w:r>
    </w:p>
    <w:p w14:paraId="1048A572" w14:textId="070A7CF3" w:rsidR="00F47FDE" w:rsidRPr="00622E44" w:rsidRDefault="00F47FDE" w:rsidP="00622E44">
      <w:pPr>
        <w:pStyle w:val="ListParagraph"/>
        <w:widowControl w:val="0"/>
        <w:numPr>
          <w:ilvl w:val="0"/>
          <w:numId w:val="62"/>
        </w:numPr>
        <w:pBdr>
          <w:top w:val="single" w:sz="4" w:space="0" w:color="auto"/>
          <w:left w:val="single" w:sz="4" w:space="18" w:color="auto"/>
          <w:bottom w:val="single" w:sz="4" w:space="0" w:color="auto"/>
          <w:right w:val="single" w:sz="4" w:space="0" w:color="auto"/>
        </w:pBdr>
        <w:shd w:val="clear" w:color="auto" w:fill="FFFFFF"/>
        <w:tabs>
          <w:tab w:val="left" w:pos="355"/>
        </w:tabs>
        <w:spacing w:before="0" w:after="240"/>
        <w:jc w:val="left"/>
        <w:rPr>
          <w:rFonts w:eastAsia="Times New Roman"/>
          <w:b/>
          <w:bCs/>
          <w:color w:val="000000"/>
          <w:szCs w:val="24"/>
          <w:lang w:eastAsia="hr-HR" w:bidi="hr-HR"/>
        </w:rPr>
      </w:pPr>
      <w:r w:rsidRPr="00622E44">
        <w:rPr>
          <w:rFonts w:eastAsia="Times New Roman"/>
          <w:b/>
          <w:bCs/>
          <w:color w:val="000000"/>
          <w:szCs w:val="24"/>
          <w:lang w:eastAsia="hr-HR" w:bidi="hr-HR"/>
        </w:rPr>
        <w:t xml:space="preserve">Judicial cooperation in civil </w:t>
      </w:r>
      <w:proofErr w:type="gramStart"/>
      <w:r w:rsidRPr="00622E44">
        <w:rPr>
          <w:rFonts w:eastAsia="Times New Roman"/>
          <w:b/>
          <w:bCs/>
          <w:color w:val="000000"/>
          <w:szCs w:val="24"/>
          <w:lang w:eastAsia="hr-HR" w:bidi="hr-HR"/>
        </w:rPr>
        <w:t>matters</w:t>
      </w:r>
      <w:r w:rsidR="00622E44">
        <w:rPr>
          <w:rFonts w:eastAsia="Times New Roman"/>
          <w:b/>
          <w:bCs/>
          <w:color w:val="000000"/>
          <w:szCs w:val="24"/>
          <w:lang w:eastAsia="hr-HR" w:bidi="hr-HR"/>
        </w:rPr>
        <w:t>;</w:t>
      </w:r>
      <w:proofErr w:type="gramEnd"/>
    </w:p>
    <w:p w14:paraId="4DFFCC79" w14:textId="738AF9AB" w:rsidR="00F47FDE" w:rsidRPr="00622E44" w:rsidRDefault="00F47FDE" w:rsidP="00622E44">
      <w:pPr>
        <w:pStyle w:val="ListParagraph"/>
        <w:widowControl w:val="0"/>
        <w:numPr>
          <w:ilvl w:val="0"/>
          <w:numId w:val="62"/>
        </w:numPr>
        <w:pBdr>
          <w:top w:val="single" w:sz="4" w:space="0" w:color="auto"/>
          <w:left w:val="single" w:sz="4" w:space="18" w:color="auto"/>
          <w:bottom w:val="single" w:sz="4" w:space="0" w:color="auto"/>
          <w:right w:val="single" w:sz="4" w:space="0" w:color="auto"/>
        </w:pBdr>
        <w:shd w:val="clear" w:color="auto" w:fill="FFFFFF"/>
        <w:tabs>
          <w:tab w:val="left" w:pos="355"/>
        </w:tabs>
        <w:spacing w:before="0" w:after="240"/>
        <w:jc w:val="left"/>
        <w:rPr>
          <w:rFonts w:eastAsia="Times New Roman"/>
          <w:b/>
          <w:bCs/>
          <w:color w:val="000000"/>
          <w:szCs w:val="24"/>
          <w:lang w:eastAsia="hr-HR" w:bidi="hr-HR"/>
        </w:rPr>
      </w:pPr>
      <w:r w:rsidRPr="00622E44">
        <w:rPr>
          <w:rFonts w:eastAsia="Times New Roman"/>
          <w:b/>
          <w:bCs/>
          <w:color w:val="000000"/>
          <w:szCs w:val="24"/>
          <w:lang w:eastAsia="hr-HR" w:bidi="hr-HR"/>
        </w:rPr>
        <w:t xml:space="preserve">Judicial cooperation in criminal </w:t>
      </w:r>
      <w:proofErr w:type="gramStart"/>
      <w:r w:rsidRPr="00622E44">
        <w:rPr>
          <w:rFonts w:eastAsia="Times New Roman"/>
          <w:b/>
          <w:bCs/>
          <w:color w:val="000000"/>
          <w:szCs w:val="24"/>
          <w:lang w:eastAsia="hr-HR" w:bidi="hr-HR"/>
        </w:rPr>
        <w:t>matters</w:t>
      </w:r>
      <w:r w:rsidR="00622E44">
        <w:rPr>
          <w:rFonts w:eastAsia="Times New Roman"/>
          <w:b/>
          <w:bCs/>
          <w:color w:val="000000"/>
          <w:szCs w:val="24"/>
          <w:lang w:eastAsia="hr-HR" w:bidi="hr-HR"/>
        </w:rPr>
        <w:t>;</w:t>
      </w:r>
      <w:proofErr w:type="gramEnd"/>
    </w:p>
    <w:p w14:paraId="6954116D" w14:textId="41E77D0F" w:rsidR="00F47FDE" w:rsidRPr="00622E44" w:rsidRDefault="00F47FDE" w:rsidP="00622E44">
      <w:pPr>
        <w:pStyle w:val="ListParagraph"/>
        <w:widowControl w:val="0"/>
        <w:numPr>
          <w:ilvl w:val="0"/>
          <w:numId w:val="62"/>
        </w:numPr>
        <w:pBdr>
          <w:top w:val="single" w:sz="4" w:space="0" w:color="auto"/>
          <w:left w:val="single" w:sz="4" w:space="18" w:color="auto"/>
          <w:bottom w:val="single" w:sz="4" w:space="0" w:color="auto"/>
          <w:right w:val="single" w:sz="4" w:space="0" w:color="auto"/>
        </w:pBdr>
        <w:shd w:val="clear" w:color="auto" w:fill="FFFFFF"/>
        <w:tabs>
          <w:tab w:val="left" w:pos="355"/>
        </w:tabs>
        <w:spacing w:before="0" w:after="300"/>
        <w:jc w:val="left"/>
        <w:rPr>
          <w:rFonts w:eastAsia="Times New Roman"/>
          <w:b/>
          <w:bCs/>
          <w:color w:val="000000"/>
          <w:szCs w:val="24"/>
          <w:lang w:eastAsia="hr-HR" w:bidi="hr-HR"/>
        </w:rPr>
      </w:pPr>
      <w:r w:rsidRPr="00622E44">
        <w:rPr>
          <w:rFonts w:eastAsia="Times New Roman"/>
          <w:b/>
          <w:bCs/>
          <w:color w:val="000000"/>
          <w:szCs w:val="24"/>
          <w:lang w:eastAsia="hr-HR" w:bidi="hr-HR"/>
        </w:rPr>
        <w:t xml:space="preserve">Support to the Member States for the setting up and strengthening of national networks active </w:t>
      </w:r>
      <w:proofErr w:type="gramStart"/>
      <w:r w:rsidRPr="00622E44">
        <w:rPr>
          <w:rFonts w:eastAsia="Times New Roman"/>
          <w:b/>
          <w:bCs/>
          <w:color w:val="000000"/>
          <w:szCs w:val="24"/>
          <w:lang w:eastAsia="hr-HR" w:bidi="hr-HR"/>
        </w:rPr>
        <w:t>in the area of</w:t>
      </w:r>
      <w:proofErr w:type="gramEnd"/>
      <w:r w:rsidRPr="00622E44">
        <w:rPr>
          <w:rFonts w:eastAsia="Times New Roman"/>
          <w:b/>
          <w:bCs/>
          <w:color w:val="000000"/>
          <w:szCs w:val="24"/>
          <w:lang w:eastAsia="hr-HR" w:bidi="hr-HR"/>
        </w:rPr>
        <w:t xml:space="preserve"> judicial cooperation in civil and criminal matters</w:t>
      </w:r>
      <w:r w:rsidR="00622E44">
        <w:rPr>
          <w:rFonts w:eastAsia="Times New Roman"/>
          <w:b/>
          <w:bCs/>
          <w:color w:val="000000"/>
          <w:szCs w:val="24"/>
          <w:lang w:eastAsia="hr-HR" w:bidi="hr-HR"/>
        </w:rPr>
        <w:t>.</w:t>
      </w:r>
    </w:p>
    <w:p w14:paraId="592D69C6"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tbl>
      <w:tblPr>
        <w:tblStyle w:val="TableGrid"/>
        <w:tblW w:w="0" w:type="auto"/>
        <w:tblInd w:w="108" w:type="dxa"/>
        <w:tblLook w:val="04A0" w:firstRow="1" w:lastRow="0" w:firstColumn="1" w:lastColumn="0" w:noHBand="0" w:noVBand="1"/>
      </w:tblPr>
      <w:tblGrid>
        <w:gridCol w:w="9166"/>
      </w:tblGrid>
      <w:tr w:rsidR="00F47FDE" w:rsidRPr="00876122" w14:paraId="5346D449" w14:textId="77777777" w:rsidTr="00622E44">
        <w:tc>
          <w:tcPr>
            <w:tcW w:w="9166" w:type="dxa"/>
          </w:tcPr>
          <w:p w14:paraId="3E3FAF57" w14:textId="77777777" w:rsidR="00F47FDE" w:rsidRPr="00876122" w:rsidRDefault="00F47FDE" w:rsidP="00F47FDE">
            <w:pPr>
              <w:shd w:val="clear" w:color="auto" w:fill="FFFFFF"/>
              <w:spacing w:before="0" w:after="0"/>
              <w:rPr>
                <w:color w:val="000000"/>
              </w:rPr>
            </w:pPr>
            <w:r w:rsidRPr="00876122">
              <w:rPr>
                <w:b/>
                <w:bCs/>
                <w:color w:val="000000"/>
              </w:rPr>
              <w:t xml:space="preserve">For priorities </w:t>
            </w:r>
            <w:r w:rsidRPr="00876122">
              <w:rPr>
                <w:b/>
                <w:bCs/>
                <w:color w:val="000000"/>
                <w:lang w:eastAsia="bg-BG" w:bidi="bg-BG"/>
              </w:rPr>
              <w:t xml:space="preserve">1 </w:t>
            </w:r>
            <w:r w:rsidRPr="00876122">
              <w:rPr>
                <w:b/>
                <w:bCs/>
                <w:color w:val="000000"/>
              </w:rPr>
              <w:t xml:space="preserve">(Judicial cooperation in civil matters) and </w:t>
            </w:r>
            <w:r w:rsidRPr="00876122">
              <w:rPr>
                <w:b/>
                <w:bCs/>
                <w:color w:val="000000"/>
                <w:lang w:eastAsia="bg-BG" w:bidi="bg-BG"/>
              </w:rPr>
              <w:t xml:space="preserve">2 </w:t>
            </w:r>
            <w:r w:rsidRPr="00876122">
              <w:rPr>
                <w:b/>
                <w:bCs/>
                <w:color w:val="000000"/>
              </w:rPr>
              <w:t>(Judicial cooperation in criminal matters):</w:t>
            </w:r>
          </w:p>
          <w:p w14:paraId="2C36715A" w14:textId="71218133" w:rsidR="00F47FDE" w:rsidRPr="00876122" w:rsidRDefault="00F47FDE" w:rsidP="00EC0AFD">
            <w:pPr>
              <w:numPr>
                <w:ilvl w:val="0"/>
                <w:numId w:val="3"/>
              </w:numPr>
              <w:shd w:val="clear" w:color="auto" w:fill="FFFFFF"/>
              <w:tabs>
                <w:tab w:val="left" w:pos="818"/>
              </w:tabs>
              <w:spacing w:before="0" w:after="0"/>
              <w:ind w:left="840" w:hanging="360"/>
              <w:rPr>
                <w:color w:val="000000"/>
              </w:rPr>
            </w:pPr>
            <w:r w:rsidRPr="00876122">
              <w:rPr>
                <w:color w:val="000000"/>
              </w:rPr>
              <w:t>Increased capacity, including digital capacity, of national practitioners, courts and authorities to address issues related to judicial cooperation in civil and criminal matters and to the application of U</w:t>
            </w:r>
            <w:r w:rsidR="00DF6207">
              <w:rPr>
                <w:color w:val="000000"/>
              </w:rPr>
              <w:t>nion</w:t>
            </w:r>
            <w:r w:rsidRPr="00876122">
              <w:rPr>
                <w:color w:val="000000"/>
              </w:rPr>
              <w:t xml:space="preserve"> instruments on civil and civil procedural law </w:t>
            </w:r>
            <w:r w:rsidR="00C73D62">
              <w:rPr>
                <w:color w:val="000000"/>
              </w:rPr>
              <w:t>and</w:t>
            </w:r>
            <w:r w:rsidRPr="00876122">
              <w:rPr>
                <w:color w:val="000000"/>
              </w:rPr>
              <w:t xml:space="preserve"> criminal and criminal procedural </w:t>
            </w:r>
            <w:proofErr w:type="gramStart"/>
            <w:r w:rsidRPr="00876122">
              <w:rPr>
                <w:color w:val="000000"/>
              </w:rPr>
              <w:t>law;</w:t>
            </w:r>
            <w:proofErr w:type="gramEnd"/>
          </w:p>
          <w:p w14:paraId="3FA74DE1" w14:textId="4C5E64CA" w:rsidR="00F47FDE" w:rsidRPr="00876122" w:rsidRDefault="00F47FDE" w:rsidP="00EC0AFD">
            <w:pPr>
              <w:numPr>
                <w:ilvl w:val="0"/>
                <w:numId w:val="3"/>
              </w:numPr>
              <w:shd w:val="clear" w:color="auto" w:fill="FFFFFF"/>
              <w:tabs>
                <w:tab w:val="left" w:pos="818"/>
              </w:tabs>
              <w:spacing w:before="0" w:after="0"/>
              <w:ind w:left="840" w:hanging="360"/>
              <w:rPr>
                <w:color w:val="000000"/>
              </w:rPr>
            </w:pPr>
            <w:r w:rsidRPr="00876122">
              <w:rPr>
                <w:color w:val="000000"/>
              </w:rPr>
              <w:t>Strengthened cooperation and exchange of information between competent national authorities (including courts) in relation to judicial cooperation in civil and criminal matters, including taking into account the relevant case</w:t>
            </w:r>
            <w:r w:rsidR="00625E84">
              <w:rPr>
                <w:color w:val="000000"/>
              </w:rPr>
              <w:t xml:space="preserve"> </w:t>
            </w:r>
            <w:r w:rsidRPr="00876122">
              <w:rPr>
                <w:color w:val="000000"/>
              </w:rPr>
              <w:t xml:space="preserve">law of the </w:t>
            </w:r>
            <w:proofErr w:type="gramStart"/>
            <w:r w:rsidRPr="00876122">
              <w:rPr>
                <w:color w:val="000000"/>
              </w:rPr>
              <w:t>CJEU;</w:t>
            </w:r>
            <w:proofErr w:type="gramEnd"/>
          </w:p>
          <w:p w14:paraId="106395D2" w14:textId="77777777" w:rsidR="00F47FDE" w:rsidRPr="00876122" w:rsidRDefault="00F47FDE" w:rsidP="00EC0AFD">
            <w:pPr>
              <w:numPr>
                <w:ilvl w:val="0"/>
                <w:numId w:val="3"/>
              </w:numPr>
              <w:shd w:val="clear" w:color="auto" w:fill="FFFFFF"/>
              <w:tabs>
                <w:tab w:val="left" w:pos="818"/>
              </w:tabs>
              <w:spacing w:before="0" w:after="0"/>
              <w:ind w:left="840" w:hanging="360"/>
              <w:rPr>
                <w:color w:val="000000"/>
              </w:rPr>
            </w:pPr>
            <w:r w:rsidRPr="00876122">
              <w:rPr>
                <w:color w:val="000000"/>
              </w:rPr>
              <w:t xml:space="preserve">Alignment of the Member States’ administrative practices related to the relevant </w:t>
            </w:r>
            <w:proofErr w:type="gramStart"/>
            <w:r w:rsidRPr="00876122">
              <w:rPr>
                <w:color w:val="000000"/>
              </w:rPr>
              <w:t>legislation;</w:t>
            </w:r>
            <w:proofErr w:type="gramEnd"/>
          </w:p>
          <w:p w14:paraId="57774E0A" w14:textId="31902AA7" w:rsidR="00F47FDE" w:rsidRPr="00876122" w:rsidRDefault="00F47FDE" w:rsidP="00EC0AFD">
            <w:pPr>
              <w:numPr>
                <w:ilvl w:val="0"/>
                <w:numId w:val="3"/>
              </w:numPr>
              <w:shd w:val="clear" w:color="auto" w:fill="FFFFFF"/>
              <w:tabs>
                <w:tab w:val="left" w:pos="806"/>
              </w:tabs>
              <w:spacing w:before="0" w:after="0"/>
              <w:ind w:left="840" w:hanging="360"/>
              <w:rPr>
                <w:color w:val="000000"/>
              </w:rPr>
            </w:pPr>
            <w:r w:rsidRPr="00876122">
              <w:rPr>
                <w:color w:val="000000"/>
              </w:rPr>
              <w:t xml:space="preserve">The </w:t>
            </w:r>
            <w:r w:rsidRPr="00C140CE">
              <w:rPr>
                <w:color w:val="000000"/>
              </w:rPr>
              <w:t>legal</w:t>
            </w:r>
            <w:r w:rsidRPr="00876122">
              <w:rPr>
                <w:color w:val="000000"/>
              </w:rPr>
              <w:t xml:space="preserve"> framework and regulations linked to judicial cooperation in civil and</w:t>
            </w:r>
          </w:p>
          <w:p w14:paraId="16F9AAAE" w14:textId="27CDF75A" w:rsidR="00F47FDE" w:rsidRPr="00876122" w:rsidRDefault="00F47FDE" w:rsidP="00EC0AFD">
            <w:pPr>
              <w:shd w:val="clear" w:color="auto" w:fill="FFFFFF"/>
              <w:tabs>
                <w:tab w:val="left" w:pos="806"/>
              </w:tabs>
              <w:spacing w:before="0" w:after="0"/>
              <w:ind w:left="840"/>
              <w:rPr>
                <w:color w:val="000000"/>
              </w:rPr>
            </w:pPr>
            <w:r w:rsidRPr="00876122">
              <w:rPr>
                <w:color w:val="000000"/>
              </w:rPr>
              <w:t xml:space="preserve">criminal matters are </w:t>
            </w:r>
            <w:r w:rsidRPr="00676E7C">
              <w:rPr>
                <w:color w:val="000000"/>
              </w:rPr>
              <w:t>in</w:t>
            </w:r>
            <w:r w:rsidRPr="00876122">
              <w:rPr>
                <w:color w:val="000000"/>
              </w:rPr>
              <w:t xml:space="preserve"> line with EU </w:t>
            </w:r>
            <w:r w:rsidRPr="00DF6207">
              <w:rPr>
                <w:i/>
                <w:iCs/>
                <w:color w:val="000000"/>
              </w:rPr>
              <w:t>acquis</w:t>
            </w:r>
            <w:r w:rsidRPr="00876122">
              <w:rPr>
                <w:color w:val="000000"/>
              </w:rPr>
              <w:t xml:space="preserve"> and relevant case-law of the </w:t>
            </w:r>
            <w:proofErr w:type="gramStart"/>
            <w:r w:rsidRPr="00876122">
              <w:rPr>
                <w:color w:val="000000"/>
              </w:rPr>
              <w:t>CJEU;</w:t>
            </w:r>
            <w:proofErr w:type="gramEnd"/>
          </w:p>
          <w:p w14:paraId="6D182EDF" w14:textId="06EB05C2" w:rsidR="00F47FDE" w:rsidRPr="00876122" w:rsidRDefault="00F47FDE" w:rsidP="00EC0AFD">
            <w:pPr>
              <w:numPr>
                <w:ilvl w:val="0"/>
                <w:numId w:val="3"/>
              </w:numPr>
              <w:shd w:val="clear" w:color="auto" w:fill="FFFFFF"/>
              <w:tabs>
                <w:tab w:val="left" w:pos="806"/>
              </w:tabs>
              <w:spacing w:before="0" w:after="0"/>
              <w:ind w:left="840" w:hanging="360"/>
              <w:rPr>
                <w:color w:val="000000"/>
              </w:rPr>
            </w:pPr>
            <w:r w:rsidRPr="00876122">
              <w:rPr>
                <w:color w:val="000000"/>
              </w:rPr>
              <w:t>Improved cross-border cooperation between judicial authorities responsible for</w:t>
            </w:r>
            <w:r w:rsidR="00776A02">
              <w:rPr>
                <w:color w:val="000000"/>
              </w:rPr>
              <w:t xml:space="preserve"> </w:t>
            </w:r>
            <w:r w:rsidRPr="00876122">
              <w:rPr>
                <w:color w:val="000000"/>
              </w:rPr>
              <w:t xml:space="preserve">judicial cooperation in civil, commercial and criminal matters, and improved cooperation and coordination between these authorities and other responsible agencies and institutions across the </w:t>
            </w:r>
            <w:proofErr w:type="gramStart"/>
            <w:r w:rsidRPr="00876122">
              <w:rPr>
                <w:color w:val="000000"/>
              </w:rPr>
              <w:t>EU;</w:t>
            </w:r>
            <w:proofErr w:type="gramEnd"/>
          </w:p>
          <w:p w14:paraId="53CB23FD" w14:textId="3067ED29" w:rsidR="00F47FDE" w:rsidRPr="00876122" w:rsidRDefault="00F47FDE" w:rsidP="00EC0AFD">
            <w:pPr>
              <w:numPr>
                <w:ilvl w:val="0"/>
                <w:numId w:val="3"/>
              </w:numPr>
              <w:shd w:val="clear" w:color="auto" w:fill="FFFFFF"/>
              <w:tabs>
                <w:tab w:val="left" w:pos="818"/>
              </w:tabs>
              <w:spacing w:before="0" w:after="0"/>
              <w:ind w:left="840" w:hanging="360"/>
              <w:rPr>
                <w:color w:val="000000"/>
              </w:rPr>
            </w:pPr>
            <w:r w:rsidRPr="00876122">
              <w:rPr>
                <w:color w:val="000000"/>
              </w:rPr>
              <w:t xml:space="preserve">Prosecutors, judges and other stakeholders have better specialised knowledge and experience on the legislation and administrative practices related to judicial cooperation in civil and criminal </w:t>
            </w:r>
            <w:proofErr w:type="gramStart"/>
            <w:r w:rsidRPr="00876122">
              <w:rPr>
                <w:color w:val="000000"/>
              </w:rPr>
              <w:t>matters;</w:t>
            </w:r>
            <w:proofErr w:type="gramEnd"/>
          </w:p>
          <w:p w14:paraId="33307EF2" w14:textId="77777777" w:rsidR="00F47FDE" w:rsidRPr="00876122" w:rsidRDefault="00F47FDE" w:rsidP="00EC0AFD">
            <w:pPr>
              <w:numPr>
                <w:ilvl w:val="0"/>
                <w:numId w:val="3"/>
              </w:numPr>
              <w:shd w:val="clear" w:color="auto" w:fill="FFFFFF"/>
              <w:tabs>
                <w:tab w:val="left" w:pos="818"/>
              </w:tabs>
              <w:spacing w:before="0" w:after="0"/>
              <w:ind w:left="840" w:hanging="360"/>
              <w:rPr>
                <w:color w:val="000000"/>
              </w:rPr>
            </w:pPr>
            <w:r w:rsidRPr="00876122">
              <w:rPr>
                <w:color w:val="000000"/>
              </w:rPr>
              <w:t>Acceleration of proceedings in relation to judicial cooperation in civil and criminal matters; less breaches of time-</w:t>
            </w:r>
            <w:proofErr w:type="gramStart"/>
            <w:r w:rsidRPr="00876122">
              <w:rPr>
                <w:color w:val="000000"/>
              </w:rPr>
              <w:t>limits;</w:t>
            </w:r>
            <w:proofErr w:type="gramEnd"/>
          </w:p>
          <w:p w14:paraId="6682E22D" w14:textId="77777777" w:rsidR="00F47FDE" w:rsidRPr="00876122" w:rsidRDefault="00F47FDE" w:rsidP="00EC0AFD">
            <w:pPr>
              <w:numPr>
                <w:ilvl w:val="0"/>
                <w:numId w:val="3"/>
              </w:numPr>
              <w:shd w:val="clear" w:color="auto" w:fill="FFFFFF"/>
              <w:tabs>
                <w:tab w:val="left" w:pos="818"/>
              </w:tabs>
              <w:spacing w:before="0" w:after="0"/>
              <w:ind w:left="840" w:hanging="360"/>
              <w:rPr>
                <w:color w:val="000000"/>
              </w:rPr>
            </w:pPr>
            <w:r w:rsidRPr="00876122">
              <w:rPr>
                <w:color w:val="000000"/>
              </w:rPr>
              <w:t xml:space="preserve">Increased awareness of policy makers related to judicial cooperation in civil and criminal </w:t>
            </w:r>
            <w:proofErr w:type="gramStart"/>
            <w:r w:rsidRPr="00876122">
              <w:rPr>
                <w:color w:val="000000"/>
              </w:rPr>
              <w:t>matters;</w:t>
            </w:r>
            <w:proofErr w:type="gramEnd"/>
          </w:p>
          <w:p w14:paraId="462BD780" w14:textId="77777777" w:rsidR="00F47FDE" w:rsidRPr="00876122" w:rsidRDefault="00F47FDE" w:rsidP="00EC0AFD">
            <w:pPr>
              <w:numPr>
                <w:ilvl w:val="0"/>
                <w:numId w:val="3"/>
              </w:numPr>
              <w:shd w:val="clear" w:color="auto" w:fill="FFFFFF"/>
              <w:tabs>
                <w:tab w:val="left" w:pos="818"/>
              </w:tabs>
              <w:spacing w:before="0" w:after="0"/>
              <w:ind w:left="840" w:hanging="360"/>
              <w:rPr>
                <w:color w:val="000000"/>
              </w:rPr>
            </w:pPr>
            <w:proofErr w:type="gramStart"/>
            <w:r w:rsidRPr="00876122">
              <w:rPr>
                <w:color w:val="000000"/>
              </w:rPr>
              <w:t>In particular for</w:t>
            </w:r>
            <w:proofErr w:type="gramEnd"/>
            <w:r w:rsidRPr="00876122">
              <w:rPr>
                <w:color w:val="000000"/>
              </w:rPr>
              <w:t xml:space="preserve"> priority </w:t>
            </w:r>
            <w:r w:rsidRPr="00876122">
              <w:rPr>
                <w:color w:val="000000"/>
                <w:lang w:eastAsia="bg-BG" w:bidi="bg-BG"/>
              </w:rPr>
              <w:t xml:space="preserve">2, </w:t>
            </w:r>
            <w:r w:rsidRPr="00876122">
              <w:rPr>
                <w:color w:val="000000"/>
              </w:rPr>
              <w:t xml:space="preserve">improved situation of persons subject to measures in the field of judicial cooperation in criminal matters, enhancement of their social rehabilitation and re-integrations, reduced risks of violation of their fundamental </w:t>
            </w:r>
            <w:r w:rsidRPr="00876122">
              <w:rPr>
                <w:color w:val="000000"/>
              </w:rPr>
              <w:lastRenderedPageBreak/>
              <w:t>rights.</w:t>
            </w:r>
          </w:p>
          <w:p w14:paraId="1AF72CB5" w14:textId="77777777" w:rsidR="00F47FDE" w:rsidRPr="00876122" w:rsidRDefault="00F47FDE" w:rsidP="00F47FDE">
            <w:pPr>
              <w:shd w:val="clear" w:color="auto" w:fill="FFFFFF"/>
              <w:spacing w:before="0" w:after="60"/>
              <w:rPr>
                <w:b/>
                <w:bCs/>
                <w:color w:val="000000"/>
              </w:rPr>
            </w:pPr>
          </w:p>
          <w:p w14:paraId="177AE21D" w14:textId="77777777" w:rsidR="00F47FDE" w:rsidRPr="00876122" w:rsidRDefault="00F47FDE" w:rsidP="00F47FDE">
            <w:pPr>
              <w:shd w:val="clear" w:color="auto" w:fill="FFFFFF"/>
              <w:spacing w:before="0" w:after="60"/>
              <w:rPr>
                <w:color w:val="000000"/>
              </w:rPr>
            </w:pPr>
            <w:r w:rsidRPr="00876122">
              <w:rPr>
                <w:b/>
                <w:bCs/>
                <w:color w:val="000000"/>
              </w:rPr>
              <w:t xml:space="preserve">For priority </w:t>
            </w:r>
            <w:r w:rsidRPr="00876122">
              <w:rPr>
                <w:b/>
                <w:bCs/>
                <w:color w:val="000000"/>
                <w:lang w:eastAsia="bg-BG" w:bidi="bg-BG"/>
              </w:rPr>
              <w:t xml:space="preserve">3 </w:t>
            </w:r>
            <w:r w:rsidRPr="00876122">
              <w:rPr>
                <w:b/>
                <w:bCs/>
                <w:color w:val="000000"/>
              </w:rPr>
              <w:t xml:space="preserve">(Support to the Member States for the setting up and strengthening of national networks active </w:t>
            </w:r>
            <w:proofErr w:type="gramStart"/>
            <w:r w:rsidRPr="00876122">
              <w:rPr>
                <w:b/>
                <w:bCs/>
                <w:color w:val="000000"/>
              </w:rPr>
              <w:t>in the area of</w:t>
            </w:r>
            <w:proofErr w:type="gramEnd"/>
            <w:r w:rsidRPr="00876122">
              <w:rPr>
                <w:b/>
                <w:bCs/>
                <w:color w:val="000000"/>
              </w:rPr>
              <w:t xml:space="preserve"> judicial cooperation in civil and criminal matters):</w:t>
            </w:r>
          </w:p>
          <w:p w14:paraId="60413B83" w14:textId="6978D79A" w:rsidR="00F47FDE" w:rsidRPr="00876122" w:rsidRDefault="00F47FDE" w:rsidP="00EC0AFD">
            <w:pPr>
              <w:numPr>
                <w:ilvl w:val="0"/>
                <w:numId w:val="3"/>
              </w:numPr>
              <w:shd w:val="clear" w:color="auto" w:fill="FFFFFF"/>
              <w:tabs>
                <w:tab w:val="left" w:pos="835"/>
              </w:tabs>
              <w:spacing w:before="0" w:after="0"/>
              <w:ind w:left="840" w:hanging="360"/>
              <w:rPr>
                <w:color w:val="000000"/>
              </w:rPr>
            </w:pPr>
            <w:r w:rsidRPr="00876122">
              <w:rPr>
                <w:color w:val="000000"/>
              </w:rPr>
              <w:t>Better implementation of U</w:t>
            </w:r>
            <w:r w:rsidR="00DF6207">
              <w:rPr>
                <w:color w:val="000000"/>
              </w:rPr>
              <w:t>nion</w:t>
            </w:r>
            <w:r w:rsidRPr="00876122">
              <w:rPr>
                <w:color w:val="000000"/>
              </w:rPr>
              <w:t xml:space="preserve"> judicial cooperation instruments in civil and criminal </w:t>
            </w:r>
            <w:proofErr w:type="gramStart"/>
            <w:r w:rsidRPr="00876122">
              <w:rPr>
                <w:color w:val="000000"/>
              </w:rPr>
              <w:t>matters;</w:t>
            </w:r>
            <w:proofErr w:type="gramEnd"/>
          </w:p>
          <w:p w14:paraId="41950DA5" w14:textId="4860B9CD" w:rsidR="00F47FDE" w:rsidRPr="00876122" w:rsidRDefault="00F47FDE" w:rsidP="00EC0AFD">
            <w:pPr>
              <w:numPr>
                <w:ilvl w:val="0"/>
                <w:numId w:val="3"/>
              </w:numPr>
              <w:shd w:val="clear" w:color="auto" w:fill="FFFFFF"/>
              <w:tabs>
                <w:tab w:val="left" w:pos="835"/>
              </w:tabs>
              <w:spacing w:before="0" w:after="0"/>
              <w:ind w:left="840" w:hanging="360"/>
              <w:rPr>
                <w:color w:val="000000"/>
              </w:rPr>
            </w:pPr>
            <w:r w:rsidRPr="00876122">
              <w:rPr>
                <w:color w:val="000000"/>
              </w:rPr>
              <w:t>Increased capacity</w:t>
            </w:r>
            <w:r w:rsidR="00AA7A66">
              <w:rPr>
                <w:color w:val="000000"/>
              </w:rPr>
              <w:t xml:space="preserve">, </w:t>
            </w:r>
            <w:r w:rsidR="00AA7A66" w:rsidRPr="00876122">
              <w:rPr>
                <w:color w:val="000000"/>
              </w:rPr>
              <w:t xml:space="preserve">including digital capacity, </w:t>
            </w:r>
            <w:r w:rsidRPr="00876122">
              <w:rPr>
                <w:color w:val="000000"/>
              </w:rPr>
              <w:t>of national practitioners, courts and authorities to address issues related to judicial cooperation in civil and criminal matters and to the application of the U</w:t>
            </w:r>
            <w:r w:rsidR="00DF6207">
              <w:rPr>
                <w:color w:val="000000"/>
              </w:rPr>
              <w:t>nion</w:t>
            </w:r>
            <w:r w:rsidRPr="00876122">
              <w:rPr>
                <w:color w:val="000000"/>
              </w:rPr>
              <w:t xml:space="preserve"> instruments on civil and civil procedural law, as well as on criminal and criminal procedural </w:t>
            </w:r>
            <w:proofErr w:type="gramStart"/>
            <w:r w:rsidRPr="00876122">
              <w:rPr>
                <w:color w:val="000000"/>
              </w:rPr>
              <w:t>law;</w:t>
            </w:r>
            <w:proofErr w:type="gramEnd"/>
          </w:p>
          <w:p w14:paraId="0E3952DA" w14:textId="5C4D783E" w:rsidR="00F47FDE" w:rsidRPr="00876122" w:rsidRDefault="00F47FDE" w:rsidP="00EC0AFD">
            <w:pPr>
              <w:numPr>
                <w:ilvl w:val="0"/>
                <w:numId w:val="3"/>
              </w:numPr>
              <w:shd w:val="clear" w:color="auto" w:fill="FFFFFF"/>
              <w:tabs>
                <w:tab w:val="left" w:pos="835"/>
              </w:tabs>
              <w:spacing w:before="0" w:after="0"/>
              <w:ind w:left="840" w:hanging="360"/>
              <w:rPr>
                <w:color w:val="000000"/>
                <w:sz w:val="16"/>
                <w:szCs w:val="16"/>
              </w:rPr>
            </w:pPr>
            <w:r w:rsidRPr="00876122">
              <w:rPr>
                <w:color w:val="000000"/>
              </w:rPr>
              <w:t xml:space="preserve">Prosecutors, judges and other stakeholders </w:t>
            </w:r>
            <w:r w:rsidR="006152F3">
              <w:rPr>
                <w:color w:val="000000"/>
              </w:rPr>
              <w:t>gaining</w:t>
            </w:r>
            <w:r w:rsidR="006152F3" w:rsidRPr="00876122">
              <w:rPr>
                <w:color w:val="000000"/>
              </w:rPr>
              <w:t xml:space="preserve"> </w:t>
            </w:r>
            <w:r w:rsidRPr="00876122">
              <w:rPr>
                <w:color w:val="000000"/>
              </w:rPr>
              <w:t xml:space="preserve">better specialised knowledge and experience on the legislation and administrative practices related to judicial cooperation in civil and criminal </w:t>
            </w:r>
            <w:proofErr w:type="gramStart"/>
            <w:r w:rsidRPr="00876122">
              <w:rPr>
                <w:color w:val="000000"/>
              </w:rPr>
              <w:t>matters</w:t>
            </w:r>
            <w:r w:rsidRPr="00876122">
              <w:rPr>
                <w:color w:val="000000"/>
                <w:sz w:val="16"/>
                <w:szCs w:val="16"/>
              </w:rPr>
              <w:t>;</w:t>
            </w:r>
            <w:proofErr w:type="gramEnd"/>
          </w:p>
          <w:p w14:paraId="482C3BDA" w14:textId="230ABAB7" w:rsidR="00F47FDE" w:rsidRPr="00876122" w:rsidRDefault="00F47FDE" w:rsidP="00EC0AFD">
            <w:pPr>
              <w:numPr>
                <w:ilvl w:val="0"/>
                <w:numId w:val="3"/>
              </w:numPr>
              <w:shd w:val="clear" w:color="auto" w:fill="FFFFFF"/>
              <w:tabs>
                <w:tab w:val="left" w:pos="835"/>
              </w:tabs>
              <w:spacing w:before="0" w:after="0"/>
              <w:ind w:left="840" w:hanging="360"/>
              <w:rPr>
                <w:color w:val="000000"/>
              </w:rPr>
            </w:pPr>
            <w:r w:rsidRPr="00876122">
              <w:rPr>
                <w:color w:val="000000"/>
              </w:rPr>
              <w:t xml:space="preserve">Strengthened cooperation and exchange of information between </w:t>
            </w:r>
            <w:r w:rsidR="0092317A">
              <w:rPr>
                <w:color w:val="000000"/>
              </w:rPr>
              <w:t xml:space="preserve">the </w:t>
            </w:r>
            <w:r w:rsidRPr="00876122">
              <w:rPr>
                <w:color w:val="000000"/>
              </w:rPr>
              <w:t>competent national authorities (including courts) in relation to judicial cooperation in civil and criminal matters, including taking into account the relevant case</w:t>
            </w:r>
            <w:r w:rsidR="00625E84">
              <w:rPr>
                <w:color w:val="000000"/>
              </w:rPr>
              <w:t xml:space="preserve"> </w:t>
            </w:r>
            <w:r w:rsidRPr="00876122">
              <w:rPr>
                <w:color w:val="000000"/>
              </w:rPr>
              <w:t xml:space="preserve">law of the </w:t>
            </w:r>
            <w:proofErr w:type="gramStart"/>
            <w:r w:rsidRPr="00876122">
              <w:rPr>
                <w:color w:val="000000"/>
              </w:rPr>
              <w:t>C</w:t>
            </w:r>
            <w:r w:rsidR="00ED306F">
              <w:rPr>
                <w:color w:val="000000"/>
              </w:rPr>
              <w:t>JEU</w:t>
            </w:r>
            <w:r w:rsidRPr="00876122">
              <w:rPr>
                <w:color w:val="000000"/>
              </w:rPr>
              <w:t>;</w:t>
            </w:r>
            <w:proofErr w:type="gramEnd"/>
          </w:p>
          <w:p w14:paraId="6400FF0C" w14:textId="6DA9D04D" w:rsidR="00F47FDE" w:rsidRPr="00876122" w:rsidRDefault="00F47FDE" w:rsidP="00EC0AFD">
            <w:pPr>
              <w:numPr>
                <w:ilvl w:val="0"/>
                <w:numId w:val="3"/>
              </w:numPr>
              <w:shd w:val="clear" w:color="auto" w:fill="FFFFFF"/>
              <w:tabs>
                <w:tab w:val="left" w:pos="835"/>
              </w:tabs>
              <w:spacing w:before="0" w:after="0"/>
              <w:ind w:left="840" w:hanging="360"/>
              <w:rPr>
                <w:color w:val="000000"/>
              </w:rPr>
            </w:pPr>
            <w:r w:rsidRPr="00876122">
              <w:rPr>
                <w:color w:val="000000"/>
              </w:rPr>
              <w:t>More efficient and better</w:t>
            </w:r>
            <w:r w:rsidR="00C650D4">
              <w:rPr>
                <w:color w:val="000000"/>
              </w:rPr>
              <w:t>-</w:t>
            </w:r>
            <w:r w:rsidRPr="00876122">
              <w:rPr>
                <w:color w:val="000000"/>
              </w:rPr>
              <w:t xml:space="preserve">functioning national networks </w:t>
            </w:r>
            <w:r w:rsidR="008773BB">
              <w:rPr>
                <w:color w:val="000000"/>
              </w:rPr>
              <w:t>able to</w:t>
            </w:r>
            <w:r w:rsidRPr="00876122">
              <w:rPr>
                <w:color w:val="000000"/>
              </w:rPr>
              <w:t xml:space="preserve"> ensure better implementation and case-handling at national </w:t>
            </w:r>
            <w:proofErr w:type="gramStart"/>
            <w:r w:rsidRPr="00876122">
              <w:rPr>
                <w:color w:val="000000"/>
              </w:rPr>
              <w:t>level;</w:t>
            </w:r>
            <w:proofErr w:type="gramEnd"/>
          </w:p>
          <w:p w14:paraId="06004F89" w14:textId="77777777" w:rsidR="007D66F5" w:rsidRDefault="00F47FDE" w:rsidP="007D66F5">
            <w:pPr>
              <w:numPr>
                <w:ilvl w:val="0"/>
                <w:numId w:val="3"/>
              </w:numPr>
              <w:shd w:val="clear" w:color="auto" w:fill="FFFFFF"/>
              <w:tabs>
                <w:tab w:val="left" w:pos="835"/>
              </w:tabs>
              <w:spacing w:before="0" w:after="0"/>
              <w:ind w:left="840" w:hanging="360"/>
              <w:rPr>
                <w:color w:val="000000"/>
              </w:rPr>
            </w:pPr>
            <w:r w:rsidRPr="00876122">
              <w:rPr>
                <w:color w:val="000000"/>
              </w:rPr>
              <w:t xml:space="preserve">Increased input of national networks to the </w:t>
            </w:r>
            <w:r w:rsidR="009D5663" w:rsidRPr="00876122">
              <w:rPr>
                <w:color w:val="000000"/>
              </w:rPr>
              <w:t>EJN</w:t>
            </w:r>
            <w:r w:rsidRPr="00876122">
              <w:rPr>
                <w:color w:val="000000"/>
              </w:rPr>
              <w:t xml:space="preserve">’s activities to strengthen the </w:t>
            </w:r>
            <w:r w:rsidR="009D5663">
              <w:rPr>
                <w:color w:val="000000"/>
              </w:rPr>
              <w:t>n</w:t>
            </w:r>
            <w:r w:rsidRPr="00876122">
              <w:rPr>
                <w:color w:val="000000"/>
              </w:rPr>
              <w:t xml:space="preserve">etwork as a </w:t>
            </w:r>
            <w:proofErr w:type="gramStart"/>
            <w:r w:rsidRPr="00876122">
              <w:rPr>
                <w:color w:val="000000"/>
              </w:rPr>
              <w:t>whole;</w:t>
            </w:r>
            <w:proofErr w:type="gramEnd"/>
          </w:p>
          <w:p w14:paraId="20E49ADF" w14:textId="2434507B" w:rsidR="00F47FDE" w:rsidRPr="007D66F5" w:rsidRDefault="00720EBF" w:rsidP="007D66F5">
            <w:pPr>
              <w:numPr>
                <w:ilvl w:val="0"/>
                <w:numId w:val="3"/>
              </w:numPr>
              <w:shd w:val="clear" w:color="auto" w:fill="FFFFFF"/>
              <w:tabs>
                <w:tab w:val="left" w:pos="835"/>
              </w:tabs>
              <w:spacing w:before="0" w:after="0"/>
              <w:ind w:left="840" w:hanging="360"/>
              <w:rPr>
                <w:color w:val="000000"/>
              </w:rPr>
            </w:pPr>
            <w:r w:rsidRPr="007D66F5">
              <w:rPr>
                <w:color w:val="000000"/>
              </w:rPr>
              <w:t xml:space="preserve">Improved awareness </w:t>
            </w:r>
            <w:r w:rsidR="00F47FDE" w:rsidRPr="007D66F5">
              <w:rPr>
                <w:color w:val="000000"/>
              </w:rPr>
              <w:t xml:space="preserve">of judicial cooperation and </w:t>
            </w:r>
            <w:r w:rsidRPr="007D66F5">
              <w:rPr>
                <w:color w:val="000000"/>
              </w:rPr>
              <w:t xml:space="preserve">enhanced visibility of </w:t>
            </w:r>
            <w:r w:rsidR="00F47FDE" w:rsidRPr="007D66F5">
              <w:rPr>
                <w:color w:val="000000"/>
              </w:rPr>
              <w:t xml:space="preserve">the relevant </w:t>
            </w:r>
            <w:r w:rsidR="00F30E6A" w:rsidRPr="007D66F5">
              <w:rPr>
                <w:color w:val="000000"/>
              </w:rPr>
              <w:t>n</w:t>
            </w:r>
            <w:r w:rsidR="00F47FDE" w:rsidRPr="007D66F5">
              <w:rPr>
                <w:color w:val="000000"/>
              </w:rPr>
              <w:t>etworks.</w:t>
            </w:r>
          </w:p>
          <w:p w14:paraId="7D161594" w14:textId="77777777" w:rsidR="00F47FDE" w:rsidRPr="00876122" w:rsidRDefault="00F47FDE" w:rsidP="00F47FDE">
            <w:pPr>
              <w:shd w:val="clear" w:color="auto" w:fill="FFFFFF"/>
              <w:spacing w:before="0" w:after="0"/>
              <w:rPr>
                <w:b/>
                <w:bCs/>
                <w:color w:val="000000"/>
              </w:rPr>
            </w:pPr>
          </w:p>
        </w:tc>
      </w:tr>
    </w:tbl>
    <w:p w14:paraId="57CF4392" w14:textId="77777777" w:rsidR="00F47FDE" w:rsidRPr="00876122" w:rsidRDefault="00F47FDE" w:rsidP="00FA563B">
      <w:pPr>
        <w:widowControl w:val="0"/>
        <w:shd w:val="clear" w:color="auto" w:fill="FFFFFF"/>
        <w:spacing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lastRenderedPageBreak/>
        <w:t>Implementation</w:t>
      </w:r>
    </w:p>
    <w:p w14:paraId="4560189F"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640"/>
        <w:jc w:val="left"/>
        <w:rPr>
          <w:rFonts w:eastAsia="Times New Roman"/>
          <w:color w:val="000000"/>
          <w:szCs w:val="24"/>
          <w:lang w:eastAsia="hr-HR" w:bidi="hr-HR"/>
        </w:rPr>
      </w:pPr>
      <w:r w:rsidRPr="00876122">
        <w:rPr>
          <w:rFonts w:eastAsia="Times New Roman"/>
          <w:color w:val="000000"/>
          <w:szCs w:val="24"/>
          <w:lang w:eastAsia="hr-HR" w:bidi="hr-HR"/>
        </w:rPr>
        <w:t>Direct management by DG JUST</w:t>
      </w:r>
    </w:p>
    <w:p w14:paraId="129D6AC6" w14:textId="45921E62" w:rsidR="00F47FDE" w:rsidRPr="00876122" w:rsidRDefault="00F47FDE" w:rsidP="00FA563B">
      <w:pPr>
        <w:pStyle w:val="Heading2"/>
        <w:rPr>
          <w:rFonts w:eastAsia="Times New Roman"/>
          <w:lang w:eastAsia="hr-HR" w:bidi="hr-HR"/>
        </w:rPr>
      </w:pPr>
      <w:bookmarkStart w:id="21" w:name="bookmark70"/>
      <w:bookmarkStart w:id="22" w:name="bookmark69"/>
      <w:bookmarkStart w:id="23" w:name="_Toc205461083"/>
      <w:bookmarkStart w:id="24" w:name="_Hlk209518297"/>
      <w:r w:rsidRPr="00876122">
        <w:rPr>
          <w:rFonts w:eastAsia="Times New Roman"/>
          <w:lang w:eastAsia="hr-HR" w:bidi="hr-HR"/>
        </w:rPr>
        <w:t xml:space="preserve">Operating grants for </w:t>
      </w:r>
      <w:r w:rsidRPr="00876122">
        <w:rPr>
          <w:rFonts w:eastAsia="Times New Roman"/>
          <w:lang w:eastAsia="bg-BG" w:bidi="bg-BG"/>
        </w:rPr>
        <w:t xml:space="preserve">2027 and 2028 </w:t>
      </w:r>
      <w:r w:rsidRPr="00876122">
        <w:rPr>
          <w:rFonts w:eastAsia="Times New Roman"/>
          <w:lang w:eastAsia="hr-HR" w:bidi="hr-HR"/>
        </w:rPr>
        <w:t xml:space="preserve">under Framework Partnership Agreements </w:t>
      </w:r>
      <w:proofErr w:type="gramStart"/>
      <w:r w:rsidRPr="00876122">
        <w:rPr>
          <w:rFonts w:eastAsia="Times New Roman"/>
          <w:lang w:eastAsia="hr-HR" w:bidi="hr-HR"/>
        </w:rPr>
        <w:t>in the area of</w:t>
      </w:r>
      <w:proofErr w:type="gramEnd"/>
      <w:r w:rsidRPr="00876122">
        <w:rPr>
          <w:rFonts w:eastAsia="Times New Roman"/>
          <w:lang w:eastAsia="hr-HR" w:bidi="hr-HR"/>
        </w:rPr>
        <w:t xml:space="preserve"> facilitating and supporting judicial cooperation in civil and/or criminal matters and/or in the area of access to justice</w:t>
      </w:r>
      <w:bookmarkEnd w:id="21"/>
      <w:bookmarkEnd w:id="22"/>
      <w:bookmarkEnd w:id="23"/>
    </w:p>
    <w:bookmarkEnd w:id="24"/>
    <w:p w14:paraId="3C15EDB2" w14:textId="77777777" w:rsidR="00F47FDE" w:rsidRPr="00876122" w:rsidRDefault="00F47FDE" w:rsidP="00F47FDE">
      <w:pPr>
        <w:widowControl w:val="0"/>
        <w:shd w:val="clear" w:color="auto" w:fill="FFFFFF"/>
        <w:spacing w:before="0"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p w14:paraId="304C8F3F" w14:textId="06D13AC2" w:rsidR="00F47FDE" w:rsidRPr="00876122" w:rsidRDefault="00F47FDE" w:rsidP="00FA563B">
      <w:pPr>
        <w:widowControl w:val="0"/>
        <w:pBdr>
          <w:top w:val="single" w:sz="4" w:space="0" w:color="auto"/>
          <w:left w:val="single" w:sz="4" w:space="0" w:color="auto"/>
          <w:bottom w:val="single" w:sz="4" w:space="0" w:color="auto"/>
          <w:right w:val="single" w:sz="4" w:space="0" w:color="auto"/>
        </w:pBdr>
        <w:shd w:val="clear" w:color="auto" w:fill="FFFFFF"/>
        <w:spacing w:before="0" w:after="280"/>
        <w:jc w:val="left"/>
        <w:rPr>
          <w:rFonts w:eastAsia="Times New Roman"/>
          <w:color w:val="000000"/>
          <w:szCs w:val="24"/>
          <w:lang w:eastAsia="hr-HR" w:bidi="hr-HR"/>
        </w:rPr>
      </w:pPr>
      <w:r w:rsidRPr="00876122">
        <w:rPr>
          <w:rFonts w:eastAsia="Times New Roman"/>
          <w:color w:val="000000"/>
          <w:szCs w:val="24"/>
          <w:lang w:eastAsia="hr-HR" w:bidi="hr-HR"/>
        </w:rPr>
        <w:t>Art</w:t>
      </w:r>
      <w:r w:rsidR="00C87140">
        <w:rPr>
          <w:rFonts w:eastAsia="Times New Roman"/>
          <w:color w:val="000000"/>
          <w:szCs w:val="24"/>
          <w:lang w:eastAsia="hr-HR" w:bidi="hr-HR"/>
        </w:rPr>
        <w:t>icle</w:t>
      </w:r>
      <w:r w:rsidR="00CF7C75">
        <w:rPr>
          <w:rFonts w:eastAsia="Times New Roman"/>
          <w:color w:val="000000"/>
          <w:szCs w:val="24"/>
          <w:lang w:eastAsia="hr-HR" w:bidi="hr-HR"/>
        </w:rPr>
        <w:t>s</w:t>
      </w:r>
      <w:r w:rsidR="00876122">
        <w:rPr>
          <w:rFonts w:eastAsia="Times New Roman"/>
          <w:color w:val="000000"/>
          <w:szCs w:val="24"/>
          <w:lang w:eastAsia="hr-HR" w:bidi="hr-HR"/>
        </w:rPr>
        <w:t> </w:t>
      </w:r>
      <w:r w:rsidRPr="00876122">
        <w:rPr>
          <w:rFonts w:eastAsia="Times New Roman"/>
          <w:color w:val="000000"/>
          <w:szCs w:val="24"/>
          <w:lang w:eastAsia="hr-HR" w:bidi="hr-HR"/>
        </w:rPr>
        <w:t xml:space="preserve">3(2)(a), 3(2)(c) and 8(f) </w:t>
      </w:r>
      <w:r w:rsidR="000D13C8">
        <w:rPr>
          <w:rFonts w:eastAsia="Times New Roman"/>
          <w:color w:val="000000"/>
          <w:szCs w:val="24"/>
          <w:lang w:eastAsia="hr-HR" w:bidi="hr-HR"/>
        </w:rPr>
        <w:t>of</w:t>
      </w:r>
      <w:r w:rsidRPr="00876122">
        <w:rPr>
          <w:rFonts w:eastAsia="Times New Roman"/>
          <w:color w:val="000000"/>
          <w:szCs w:val="24"/>
          <w:lang w:eastAsia="hr-HR" w:bidi="hr-HR"/>
        </w:rPr>
        <w:t xml:space="preserve"> Regulation (EU) </w:t>
      </w:r>
      <w:r w:rsidRPr="00876122">
        <w:rPr>
          <w:rFonts w:eastAsia="Times New Roman"/>
          <w:color w:val="000000"/>
          <w:szCs w:val="24"/>
          <w:lang w:eastAsia="bg-BG" w:bidi="bg-BG"/>
        </w:rPr>
        <w:t xml:space="preserve">2021/693 </w:t>
      </w:r>
    </w:p>
    <w:p w14:paraId="0420259A" w14:textId="77777777" w:rsidR="00F47FDE" w:rsidRPr="00876122" w:rsidRDefault="00F47FDE" w:rsidP="00F47FDE">
      <w:pPr>
        <w:widowControl w:val="0"/>
        <w:shd w:val="clear" w:color="auto" w:fill="FFFFFF"/>
        <w:spacing w:before="0"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lines</w:t>
      </w:r>
    </w:p>
    <w:p w14:paraId="604F43E2"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01: </w:t>
      </w:r>
      <w:r w:rsidRPr="00876122">
        <w:rPr>
          <w:rFonts w:eastAsia="Times New Roman"/>
          <w:color w:val="000000"/>
          <w:szCs w:val="24"/>
          <w:lang w:eastAsia="hr-HR" w:bidi="hr-HR"/>
        </w:rPr>
        <w:t>Promoting judicial cooperation</w:t>
      </w:r>
    </w:p>
    <w:p w14:paraId="5BEC251E"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2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03: </w:t>
      </w:r>
      <w:r w:rsidRPr="00876122">
        <w:rPr>
          <w:rFonts w:eastAsia="Times New Roman"/>
          <w:color w:val="000000"/>
          <w:szCs w:val="24"/>
          <w:lang w:eastAsia="hr-HR" w:bidi="hr-HR"/>
        </w:rPr>
        <w:t>Promoting effective access to justice</w:t>
      </w:r>
    </w:p>
    <w:p w14:paraId="0D58DEF2"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256DA4BC" w14:textId="298E443C"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b/>
          <w:bCs/>
          <w:color w:val="000000"/>
          <w:szCs w:val="24"/>
          <w:lang w:eastAsia="hr-HR" w:bidi="hr-HR"/>
        </w:rPr>
        <w:t>In the area of judicial cooperation</w:t>
      </w:r>
      <w:r w:rsidRPr="00876122">
        <w:rPr>
          <w:rFonts w:eastAsia="Times New Roman"/>
          <w:color w:val="000000"/>
          <w:szCs w:val="24"/>
          <w:lang w:eastAsia="hr-HR" w:bidi="hr-HR"/>
        </w:rPr>
        <w:t xml:space="preserve">: to facilitate and support judicial cooperation in civil and </w:t>
      </w:r>
      <w:r w:rsidRPr="00876122">
        <w:rPr>
          <w:rFonts w:eastAsia="Times New Roman"/>
          <w:color w:val="000000"/>
          <w:szCs w:val="24"/>
          <w:lang w:eastAsia="hr-HR" w:bidi="hr-HR"/>
        </w:rPr>
        <w:lastRenderedPageBreak/>
        <w:t>criminal matters, and promote the rule of law, independence and impartiality of the judiciary, including by supporting the efforts to improve the effectiveness of national justice systems, and the effective enforcement of decisions.</w:t>
      </w:r>
    </w:p>
    <w:p w14:paraId="7A558A53" w14:textId="649D3D95"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b/>
          <w:bCs/>
          <w:color w:val="000000"/>
          <w:szCs w:val="24"/>
          <w:lang w:eastAsia="hr-HR" w:bidi="hr-HR"/>
        </w:rPr>
        <w:t>In the area of access to justice</w:t>
      </w:r>
      <w:r w:rsidRPr="00876122">
        <w:rPr>
          <w:rFonts w:eastAsia="Times New Roman"/>
          <w:color w:val="000000"/>
          <w:szCs w:val="24"/>
          <w:lang w:eastAsia="hr-HR" w:bidi="hr-HR"/>
        </w:rPr>
        <w:t>: to facilitate effective and non-discriminatory access to justice for all, and effective redress, including by electronic means (e-justice), by promoting efficient civil, and criminal procedures, by promoting and supporting the rights of all victims of crime, as well as the procedural rights of suspects and accused persons in criminal proceedings, and by promoting the rule of law and supporting the efforts to improve the effectiveness of national justice systems.</w:t>
      </w:r>
    </w:p>
    <w:p w14:paraId="3EA87DAD" w14:textId="77777777" w:rsidR="00F47FDE" w:rsidRPr="00876122" w:rsidRDefault="00F47FDE" w:rsidP="00F47FDE">
      <w:pPr>
        <w:widowControl w:val="0"/>
        <w:shd w:val="clear" w:color="auto" w:fill="FFFFFF"/>
        <w:spacing w:before="0" w:after="26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Type of applicants targeted</w:t>
      </w:r>
    </w:p>
    <w:p w14:paraId="60EA227F" w14:textId="6E6C0D71"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color w:val="000000"/>
          <w:szCs w:val="24"/>
          <w:lang w:eastAsia="hr-HR" w:bidi="hr-HR"/>
        </w:rPr>
        <w:t xml:space="preserve">European networks </w:t>
      </w:r>
      <w:r w:rsidR="005162FD">
        <w:rPr>
          <w:rFonts w:eastAsia="Times New Roman"/>
          <w:color w:val="000000"/>
          <w:szCs w:val="24"/>
          <w:lang w:eastAsia="hr-HR" w:bidi="hr-HR"/>
        </w:rPr>
        <w:t>that</w:t>
      </w:r>
      <w:r w:rsidR="005162FD" w:rsidRPr="00876122">
        <w:rPr>
          <w:rFonts w:eastAsia="Times New Roman"/>
          <w:color w:val="000000"/>
          <w:szCs w:val="24"/>
          <w:lang w:eastAsia="hr-HR" w:bidi="hr-HR"/>
        </w:rPr>
        <w:t xml:space="preserve"> </w:t>
      </w:r>
      <w:r w:rsidRPr="00876122">
        <w:rPr>
          <w:rFonts w:eastAsia="Times New Roman"/>
          <w:color w:val="000000"/>
          <w:szCs w:val="24"/>
          <w:lang w:eastAsia="hr-HR" w:bidi="hr-HR"/>
        </w:rPr>
        <w:t>have signed Framework Partnership Agreements with the Commission.</w:t>
      </w:r>
    </w:p>
    <w:p w14:paraId="113A5B60"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Policy priorities</w:t>
      </w:r>
    </w:p>
    <w:p w14:paraId="06D0214F" w14:textId="43DA0724"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color w:val="000000"/>
          <w:szCs w:val="24"/>
          <w:lang w:eastAsia="hr-HR" w:bidi="hr-HR"/>
        </w:rPr>
        <w:t xml:space="preserve">These grants aim to support the </w:t>
      </w:r>
      <w:r w:rsidR="00513151" w:rsidRPr="00876122">
        <w:rPr>
          <w:rFonts w:eastAsia="Times New Roman"/>
          <w:color w:val="000000"/>
          <w:szCs w:val="24"/>
          <w:lang w:eastAsia="bg-BG" w:bidi="bg-BG"/>
        </w:rPr>
        <w:t>2027 and 2028</w:t>
      </w:r>
      <w:r w:rsidR="00513151">
        <w:rPr>
          <w:rFonts w:eastAsia="Times New Roman"/>
          <w:color w:val="000000"/>
          <w:szCs w:val="24"/>
          <w:lang w:eastAsia="bg-BG" w:bidi="bg-BG"/>
        </w:rPr>
        <w:t xml:space="preserve"> </w:t>
      </w:r>
      <w:r w:rsidRPr="00876122">
        <w:rPr>
          <w:rFonts w:eastAsia="Times New Roman"/>
          <w:color w:val="000000"/>
          <w:szCs w:val="24"/>
          <w:lang w:eastAsia="hr-HR" w:bidi="hr-HR"/>
        </w:rPr>
        <w:t xml:space="preserve">annual work programme of European networks active </w:t>
      </w:r>
      <w:proofErr w:type="gramStart"/>
      <w:r w:rsidRPr="00876122">
        <w:rPr>
          <w:rFonts w:eastAsia="Times New Roman"/>
          <w:color w:val="000000"/>
          <w:szCs w:val="24"/>
          <w:lang w:eastAsia="hr-HR" w:bidi="hr-HR"/>
        </w:rPr>
        <w:t>in the area of</w:t>
      </w:r>
      <w:proofErr w:type="gramEnd"/>
      <w:r w:rsidRPr="00876122">
        <w:rPr>
          <w:rFonts w:eastAsia="Times New Roman"/>
          <w:color w:val="000000"/>
          <w:szCs w:val="24"/>
          <w:lang w:eastAsia="hr-HR" w:bidi="hr-HR"/>
        </w:rPr>
        <w:t xml:space="preserve"> facilitating and supporting judicial cooperation in civil and/or criminal matters and/or in the area of access to justice.</w:t>
      </w:r>
    </w:p>
    <w:p w14:paraId="799A8659" w14:textId="77777777" w:rsidR="00F47FDE" w:rsidRPr="00876122" w:rsidRDefault="00F47FDE" w:rsidP="00F47FDE">
      <w:pPr>
        <w:widowControl w:val="0"/>
        <w:shd w:val="clear" w:color="auto" w:fill="FFFFFF"/>
        <w:spacing w:before="0" w:after="10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tbl>
      <w:tblPr>
        <w:tblStyle w:val="TableGrid"/>
        <w:tblW w:w="0" w:type="auto"/>
        <w:tblInd w:w="108" w:type="dxa"/>
        <w:tblLook w:val="04A0" w:firstRow="1" w:lastRow="0" w:firstColumn="1" w:lastColumn="0" w:noHBand="0" w:noVBand="1"/>
      </w:tblPr>
      <w:tblGrid>
        <w:gridCol w:w="9356"/>
      </w:tblGrid>
      <w:tr w:rsidR="00F47FDE" w:rsidRPr="00876122" w14:paraId="35C9546A" w14:textId="77777777" w:rsidTr="00EC0AFD">
        <w:tc>
          <w:tcPr>
            <w:tcW w:w="9356" w:type="dxa"/>
          </w:tcPr>
          <w:p w14:paraId="64815B7B" w14:textId="77777777" w:rsidR="00F47FDE" w:rsidRPr="00876122" w:rsidRDefault="00F47FDE" w:rsidP="00F47FDE">
            <w:pPr>
              <w:shd w:val="clear" w:color="auto" w:fill="FFFFFF"/>
              <w:spacing w:before="0" w:after="0"/>
              <w:jc w:val="left"/>
              <w:rPr>
                <w:b/>
                <w:bCs/>
                <w:color w:val="000000"/>
              </w:rPr>
            </w:pPr>
          </w:p>
          <w:p w14:paraId="519F751E" w14:textId="77777777" w:rsidR="00F47FDE" w:rsidRPr="00876122" w:rsidRDefault="00F47FDE" w:rsidP="00F47FDE">
            <w:pPr>
              <w:shd w:val="clear" w:color="auto" w:fill="FFFFFF"/>
              <w:spacing w:before="0" w:after="0"/>
              <w:jc w:val="left"/>
              <w:rPr>
                <w:color w:val="000000"/>
              </w:rPr>
            </w:pPr>
            <w:r w:rsidRPr="00876122">
              <w:rPr>
                <w:color w:val="000000"/>
              </w:rPr>
              <w:t>The following priorities will be supported in 2027 and 2028:</w:t>
            </w:r>
          </w:p>
          <w:p w14:paraId="6D5CEE44" w14:textId="77777777" w:rsidR="00F47FDE" w:rsidRPr="00876122" w:rsidRDefault="00F47FDE" w:rsidP="00F47FDE">
            <w:pPr>
              <w:shd w:val="clear" w:color="auto" w:fill="FFFFFF"/>
              <w:spacing w:before="0" w:after="0"/>
              <w:jc w:val="left"/>
              <w:rPr>
                <w:b/>
                <w:bCs/>
                <w:color w:val="000000"/>
              </w:rPr>
            </w:pPr>
          </w:p>
          <w:p w14:paraId="212D95E6" w14:textId="77777777" w:rsidR="00F47FDE" w:rsidRPr="00876122" w:rsidRDefault="00F47FDE" w:rsidP="00F47FDE">
            <w:pPr>
              <w:shd w:val="clear" w:color="auto" w:fill="FFFFFF"/>
              <w:spacing w:before="0" w:after="0"/>
              <w:jc w:val="left"/>
              <w:rPr>
                <w:color w:val="000000"/>
              </w:rPr>
            </w:pPr>
            <w:r w:rsidRPr="00876122">
              <w:rPr>
                <w:b/>
                <w:bCs/>
                <w:color w:val="000000"/>
              </w:rPr>
              <w:t>In the area of judicial cooperation</w:t>
            </w:r>
            <w:r w:rsidRPr="00876122">
              <w:rPr>
                <w:color w:val="000000"/>
              </w:rPr>
              <w:t>:</w:t>
            </w:r>
          </w:p>
          <w:p w14:paraId="6CDC614F" w14:textId="77777777" w:rsidR="00F47FDE" w:rsidRPr="00876122" w:rsidRDefault="00F47FDE" w:rsidP="00F47FDE">
            <w:pPr>
              <w:shd w:val="clear" w:color="auto" w:fill="FFFFFF"/>
              <w:spacing w:before="0" w:after="0"/>
              <w:jc w:val="left"/>
              <w:rPr>
                <w:color w:val="000000"/>
              </w:rPr>
            </w:pPr>
          </w:p>
          <w:p w14:paraId="5D8DFBD9" w14:textId="1E50CFC4" w:rsidR="00F47FDE" w:rsidRPr="00876122" w:rsidRDefault="00F47FDE" w:rsidP="00EC0AFD">
            <w:pPr>
              <w:numPr>
                <w:ilvl w:val="0"/>
                <w:numId w:val="7"/>
              </w:numPr>
              <w:shd w:val="clear" w:color="auto" w:fill="FFFFFF"/>
              <w:spacing w:before="0" w:after="0"/>
              <w:rPr>
                <w:color w:val="000000"/>
              </w:rPr>
            </w:pPr>
            <w:r w:rsidRPr="00876122">
              <w:rPr>
                <w:color w:val="000000"/>
              </w:rPr>
              <w:t>Increased capacity, including digital capacity, of national practitioners</w:t>
            </w:r>
            <w:r w:rsidR="003306FB">
              <w:rPr>
                <w:color w:val="000000"/>
              </w:rPr>
              <w:t>,</w:t>
            </w:r>
            <w:r w:rsidRPr="00876122">
              <w:rPr>
                <w:color w:val="000000"/>
              </w:rPr>
              <w:t xml:space="preserve"> courts and authorities to address issues related to judicial cooperation in civil and criminal matters and to the application of the Union instruments on civil and criminal law and on civil and criminal procedural </w:t>
            </w:r>
            <w:proofErr w:type="gramStart"/>
            <w:r w:rsidRPr="00876122">
              <w:rPr>
                <w:color w:val="000000"/>
              </w:rPr>
              <w:t>law;</w:t>
            </w:r>
            <w:proofErr w:type="gramEnd"/>
          </w:p>
          <w:p w14:paraId="2B03A041" w14:textId="1D3F43F5" w:rsidR="00F47FDE" w:rsidRPr="00876122" w:rsidRDefault="00F47FDE" w:rsidP="00EC0AFD">
            <w:pPr>
              <w:numPr>
                <w:ilvl w:val="0"/>
                <w:numId w:val="7"/>
              </w:numPr>
              <w:shd w:val="clear" w:color="auto" w:fill="FFFFFF"/>
              <w:spacing w:before="0" w:after="0"/>
              <w:rPr>
                <w:color w:val="000000"/>
              </w:rPr>
            </w:pPr>
            <w:r w:rsidRPr="00876122">
              <w:rPr>
                <w:color w:val="000000"/>
              </w:rPr>
              <w:t xml:space="preserve">Strengthened cooperation and exchange of information between </w:t>
            </w:r>
            <w:r w:rsidR="0092317A">
              <w:rPr>
                <w:color w:val="000000"/>
              </w:rPr>
              <w:t xml:space="preserve">the </w:t>
            </w:r>
            <w:r w:rsidRPr="00876122">
              <w:rPr>
                <w:color w:val="000000"/>
              </w:rPr>
              <w:t xml:space="preserve">competent national authorities in relation to judicial cooperation in civil and criminal matters, </w:t>
            </w:r>
            <w:r w:rsidRPr="004135ED">
              <w:rPr>
                <w:color w:val="000000"/>
              </w:rPr>
              <w:t xml:space="preserve">including </w:t>
            </w:r>
            <w:r w:rsidR="003714C1">
              <w:rPr>
                <w:color w:val="000000"/>
              </w:rPr>
              <w:t>taking into account</w:t>
            </w:r>
            <w:r w:rsidR="003714C1" w:rsidRPr="004135ED">
              <w:rPr>
                <w:color w:val="000000"/>
              </w:rPr>
              <w:t xml:space="preserve"> </w:t>
            </w:r>
            <w:r w:rsidRPr="004135ED">
              <w:rPr>
                <w:color w:val="000000"/>
              </w:rPr>
              <w:t>the</w:t>
            </w:r>
            <w:r w:rsidRPr="00876122">
              <w:rPr>
                <w:color w:val="000000"/>
              </w:rPr>
              <w:t xml:space="preserve"> relevant case</w:t>
            </w:r>
            <w:r w:rsidR="00625E84">
              <w:rPr>
                <w:color w:val="000000"/>
              </w:rPr>
              <w:t xml:space="preserve"> </w:t>
            </w:r>
            <w:r w:rsidRPr="00876122">
              <w:rPr>
                <w:color w:val="000000"/>
              </w:rPr>
              <w:t xml:space="preserve">law of the </w:t>
            </w:r>
            <w:proofErr w:type="gramStart"/>
            <w:r w:rsidRPr="00876122">
              <w:rPr>
                <w:color w:val="000000"/>
              </w:rPr>
              <w:t>CJEU;</w:t>
            </w:r>
            <w:proofErr w:type="gramEnd"/>
          </w:p>
          <w:p w14:paraId="4527B115" w14:textId="7D723501" w:rsidR="00F47FDE" w:rsidRPr="00876122" w:rsidRDefault="00F47FDE" w:rsidP="00EC0AFD">
            <w:pPr>
              <w:numPr>
                <w:ilvl w:val="0"/>
                <w:numId w:val="7"/>
              </w:numPr>
              <w:shd w:val="clear" w:color="auto" w:fill="FFFFFF"/>
              <w:spacing w:before="0" w:after="0"/>
              <w:rPr>
                <w:color w:val="000000"/>
              </w:rPr>
            </w:pPr>
            <w:r w:rsidRPr="00876122">
              <w:rPr>
                <w:color w:val="000000"/>
              </w:rPr>
              <w:t xml:space="preserve">Harmonisation of </w:t>
            </w:r>
            <w:r w:rsidR="00A02971">
              <w:rPr>
                <w:color w:val="000000"/>
              </w:rPr>
              <w:t xml:space="preserve">Member States’ </w:t>
            </w:r>
            <w:r w:rsidRPr="00876122">
              <w:rPr>
                <w:color w:val="000000"/>
              </w:rPr>
              <w:t xml:space="preserve">administrative practices in relation to the relevant </w:t>
            </w:r>
            <w:proofErr w:type="gramStart"/>
            <w:r w:rsidRPr="00876122">
              <w:rPr>
                <w:color w:val="000000"/>
              </w:rPr>
              <w:t>legislation</w:t>
            </w:r>
            <w:r w:rsidR="00A02971">
              <w:rPr>
                <w:color w:val="000000"/>
              </w:rPr>
              <w:t>;</w:t>
            </w:r>
            <w:proofErr w:type="gramEnd"/>
          </w:p>
          <w:p w14:paraId="1EC159CF" w14:textId="3A51DA57" w:rsidR="00F47FDE" w:rsidRPr="00876122" w:rsidRDefault="00F47FDE" w:rsidP="00EC0AFD">
            <w:pPr>
              <w:numPr>
                <w:ilvl w:val="0"/>
                <w:numId w:val="7"/>
              </w:numPr>
              <w:shd w:val="clear" w:color="auto" w:fill="FFFFFF"/>
              <w:spacing w:before="0" w:after="0"/>
              <w:rPr>
                <w:color w:val="000000"/>
              </w:rPr>
            </w:pPr>
            <w:r w:rsidRPr="00876122">
              <w:rPr>
                <w:color w:val="000000"/>
              </w:rPr>
              <w:t xml:space="preserve">Alignment of the legal framework and regulations </w:t>
            </w:r>
            <w:r w:rsidR="00662F55">
              <w:rPr>
                <w:color w:val="000000"/>
              </w:rPr>
              <w:t>on</w:t>
            </w:r>
            <w:r w:rsidRPr="00876122">
              <w:rPr>
                <w:color w:val="000000"/>
              </w:rPr>
              <w:t xml:space="preserve"> judicial cooperation in civil and criminal matters with EU </w:t>
            </w:r>
            <w:r w:rsidR="00876122">
              <w:rPr>
                <w:i/>
                <w:color w:val="000000"/>
              </w:rPr>
              <w:t>acquis</w:t>
            </w:r>
            <w:r w:rsidRPr="00876122">
              <w:rPr>
                <w:color w:val="000000"/>
              </w:rPr>
              <w:t xml:space="preserve"> and relevant case</w:t>
            </w:r>
            <w:r w:rsidR="00625E84">
              <w:rPr>
                <w:color w:val="000000"/>
              </w:rPr>
              <w:t xml:space="preserve"> </w:t>
            </w:r>
            <w:r w:rsidRPr="00876122">
              <w:rPr>
                <w:color w:val="000000"/>
              </w:rPr>
              <w:t xml:space="preserve">law of the </w:t>
            </w:r>
            <w:proofErr w:type="gramStart"/>
            <w:r w:rsidRPr="00876122">
              <w:rPr>
                <w:color w:val="000000"/>
              </w:rPr>
              <w:t>CJEU;</w:t>
            </w:r>
            <w:proofErr w:type="gramEnd"/>
          </w:p>
          <w:p w14:paraId="7A9F123E" w14:textId="77777777" w:rsidR="00F47FDE" w:rsidRPr="00876122" w:rsidRDefault="00F47FDE" w:rsidP="00EC0AFD">
            <w:pPr>
              <w:numPr>
                <w:ilvl w:val="0"/>
                <w:numId w:val="7"/>
              </w:numPr>
              <w:shd w:val="clear" w:color="auto" w:fill="FFFFFF"/>
              <w:spacing w:before="0" w:after="0"/>
              <w:rPr>
                <w:color w:val="000000"/>
              </w:rPr>
            </w:pPr>
            <w:r w:rsidRPr="00876122">
              <w:rPr>
                <w:color w:val="000000"/>
              </w:rPr>
              <w:t xml:space="preserve">Improved cross-border cooperation between judicial authorities responsible for judicial cooperation in civil, commercial and criminal matters, and improved cooperation and coordination between these authorities and other responsible agencies and institutions across the </w:t>
            </w:r>
            <w:proofErr w:type="gramStart"/>
            <w:r w:rsidRPr="00876122">
              <w:rPr>
                <w:color w:val="000000"/>
              </w:rPr>
              <w:t>EU;</w:t>
            </w:r>
            <w:proofErr w:type="gramEnd"/>
          </w:p>
          <w:p w14:paraId="438BCFA1" w14:textId="2A6D5C94" w:rsidR="00F47FDE" w:rsidRPr="00876122" w:rsidRDefault="00452B3A" w:rsidP="00EC0AFD">
            <w:pPr>
              <w:numPr>
                <w:ilvl w:val="0"/>
                <w:numId w:val="7"/>
              </w:numPr>
              <w:shd w:val="clear" w:color="auto" w:fill="FFFFFF"/>
              <w:spacing w:before="0" w:after="0"/>
              <w:rPr>
                <w:color w:val="000000"/>
              </w:rPr>
            </w:pPr>
            <w:r>
              <w:rPr>
                <w:color w:val="000000"/>
              </w:rPr>
              <w:t>For prosecutors, judges and stakeholders, i</w:t>
            </w:r>
            <w:r w:rsidR="00763E1C">
              <w:rPr>
                <w:color w:val="000000"/>
              </w:rPr>
              <w:t xml:space="preserve">ncreased </w:t>
            </w:r>
            <w:r w:rsidR="00F47FDE" w:rsidRPr="00876122">
              <w:rPr>
                <w:color w:val="000000"/>
              </w:rPr>
              <w:t>specialised knowledge</w:t>
            </w:r>
            <w:r>
              <w:rPr>
                <w:color w:val="000000"/>
              </w:rPr>
              <w:t xml:space="preserve"> of</w:t>
            </w:r>
            <w:r w:rsidR="00F47FDE" w:rsidRPr="00876122">
              <w:rPr>
                <w:color w:val="000000"/>
              </w:rPr>
              <w:t xml:space="preserve"> and experience</w:t>
            </w:r>
            <w:r>
              <w:rPr>
                <w:color w:val="000000"/>
              </w:rPr>
              <w:t xml:space="preserve"> with</w:t>
            </w:r>
            <w:r w:rsidR="00763E1C">
              <w:rPr>
                <w:color w:val="000000"/>
              </w:rPr>
              <w:t xml:space="preserve"> </w:t>
            </w:r>
            <w:r w:rsidR="00F47FDE" w:rsidRPr="00876122">
              <w:rPr>
                <w:color w:val="000000"/>
              </w:rPr>
              <w:t xml:space="preserve">the legislation and administrative practices related to judicial cooperation in civil and criminal </w:t>
            </w:r>
            <w:proofErr w:type="gramStart"/>
            <w:r w:rsidR="00F47FDE" w:rsidRPr="00876122">
              <w:rPr>
                <w:color w:val="000000"/>
              </w:rPr>
              <w:t>matters;</w:t>
            </w:r>
            <w:proofErr w:type="gramEnd"/>
          </w:p>
          <w:p w14:paraId="65A93E1C" w14:textId="40855DBA" w:rsidR="00F47FDE" w:rsidRPr="00876122" w:rsidRDefault="00270087" w:rsidP="00EC0AFD">
            <w:pPr>
              <w:numPr>
                <w:ilvl w:val="0"/>
                <w:numId w:val="7"/>
              </w:numPr>
              <w:shd w:val="clear" w:color="auto" w:fill="FFFFFF"/>
              <w:spacing w:before="0" w:after="0"/>
              <w:rPr>
                <w:color w:val="000000"/>
              </w:rPr>
            </w:pPr>
            <w:r>
              <w:rPr>
                <w:color w:val="000000"/>
              </w:rPr>
              <w:t>Faster</w:t>
            </w:r>
            <w:r w:rsidR="00F47FDE" w:rsidRPr="00876122">
              <w:rPr>
                <w:color w:val="000000"/>
              </w:rPr>
              <w:t xml:space="preserve"> proceedings in relation to judicial cooperation in civil and criminal matters</w:t>
            </w:r>
            <w:r w:rsidR="00997E66">
              <w:rPr>
                <w:color w:val="000000"/>
              </w:rPr>
              <w:t xml:space="preserve"> </w:t>
            </w:r>
            <w:r w:rsidR="00F47FDE" w:rsidRPr="00876122">
              <w:rPr>
                <w:color w:val="000000"/>
              </w:rPr>
              <w:t>and decrease in breaches of time-</w:t>
            </w:r>
            <w:proofErr w:type="gramStart"/>
            <w:r w:rsidR="00F47FDE" w:rsidRPr="00876122">
              <w:rPr>
                <w:color w:val="000000"/>
              </w:rPr>
              <w:t>limits;</w:t>
            </w:r>
            <w:proofErr w:type="gramEnd"/>
          </w:p>
          <w:p w14:paraId="28C0A438" w14:textId="24CF1A6C" w:rsidR="00F47FDE" w:rsidRPr="00876122" w:rsidRDefault="00F47FDE" w:rsidP="00EC0AFD">
            <w:pPr>
              <w:numPr>
                <w:ilvl w:val="0"/>
                <w:numId w:val="7"/>
              </w:numPr>
              <w:shd w:val="clear" w:color="auto" w:fill="FFFFFF"/>
              <w:spacing w:before="0" w:after="0"/>
              <w:rPr>
                <w:color w:val="000000"/>
              </w:rPr>
            </w:pPr>
            <w:r w:rsidRPr="00876122">
              <w:rPr>
                <w:color w:val="000000"/>
              </w:rPr>
              <w:t>Improved situation of persons subject to measures in the field of judicial cooperation in criminal matters</w:t>
            </w:r>
            <w:r w:rsidR="00997E66">
              <w:rPr>
                <w:color w:val="000000"/>
              </w:rPr>
              <w:t xml:space="preserve"> and</w:t>
            </w:r>
            <w:r w:rsidRPr="00876122">
              <w:rPr>
                <w:color w:val="000000"/>
              </w:rPr>
              <w:t xml:space="preserve"> </w:t>
            </w:r>
            <w:r w:rsidR="00662F55">
              <w:rPr>
                <w:color w:val="000000"/>
              </w:rPr>
              <w:t>increased opportunities for</w:t>
            </w:r>
            <w:r w:rsidRPr="00662F55">
              <w:rPr>
                <w:color w:val="000000"/>
              </w:rPr>
              <w:t xml:space="preserve"> s</w:t>
            </w:r>
            <w:r w:rsidRPr="00876122">
              <w:rPr>
                <w:color w:val="000000"/>
              </w:rPr>
              <w:t>ocial rehabilitation and re-</w:t>
            </w:r>
            <w:proofErr w:type="gramStart"/>
            <w:r w:rsidRPr="00876122">
              <w:rPr>
                <w:color w:val="000000"/>
              </w:rPr>
              <w:t>integration;</w:t>
            </w:r>
            <w:proofErr w:type="gramEnd"/>
          </w:p>
          <w:p w14:paraId="0168CF57" w14:textId="69673212" w:rsidR="00F47FDE" w:rsidRPr="00876122" w:rsidRDefault="00F47FDE" w:rsidP="00EC0AFD">
            <w:pPr>
              <w:numPr>
                <w:ilvl w:val="0"/>
                <w:numId w:val="7"/>
              </w:numPr>
              <w:shd w:val="clear" w:color="auto" w:fill="FFFFFF"/>
              <w:spacing w:before="0" w:after="0"/>
              <w:rPr>
                <w:color w:val="000000"/>
              </w:rPr>
            </w:pPr>
            <w:r w:rsidRPr="00876122">
              <w:rPr>
                <w:color w:val="000000"/>
              </w:rPr>
              <w:t xml:space="preserve">Increased awareness of policy makers related to judicial cooperation in civil and criminal </w:t>
            </w:r>
            <w:proofErr w:type="gramStart"/>
            <w:r w:rsidRPr="00876122">
              <w:rPr>
                <w:color w:val="000000"/>
              </w:rPr>
              <w:t>matters;</w:t>
            </w:r>
            <w:proofErr w:type="gramEnd"/>
          </w:p>
          <w:p w14:paraId="2CE6EBA9" w14:textId="73837ED1" w:rsidR="00F47FDE" w:rsidRPr="00876122" w:rsidRDefault="00F47FDE" w:rsidP="00EC0AFD">
            <w:pPr>
              <w:numPr>
                <w:ilvl w:val="0"/>
                <w:numId w:val="7"/>
              </w:numPr>
              <w:shd w:val="clear" w:color="auto" w:fill="FFFFFF"/>
              <w:spacing w:before="0" w:after="0"/>
              <w:rPr>
                <w:color w:val="000000"/>
              </w:rPr>
            </w:pPr>
            <w:r w:rsidRPr="00876122">
              <w:rPr>
                <w:color w:val="000000"/>
              </w:rPr>
              <w:lastRenderedPageBreak/>
              <w:t xml:space="preserve">Enhanced </w:t>
            </w:r>
            <w:r w:rsidR="00997E66">
              <w:rPr>
                <w:color w:val="000000"/>
              </w:rPr>
              <w:t>awareness</w:t>
            </w:r>
            <w:r w:rsidR="008F73FB">
              <w:rPr>
                <w:color w:val="000000"/>
              </w:rPr>
              <w:t xml:space="preserve"> </w:t>
            </w:r>
            <w:r w:rsidRPr="00876122">
              <w:rPr>
                <w:color w:val="000000"/>
              </w:rPr>
              <w:t xml:space="preserve">of judicial cooperation and </w:t>
            </w:r>
            <w:r w:rsidR="00997E66">
              <w:rPr>
                <w:color w:val="000000"/>
              </w:rPr>
              <w:t xml:space="preserve">greater visibility of </w:t>
            </w:r>
            <w:r w:rsidRPr="00876122">
              <w:rPr>
                <w:color w:val="000000"/>
              </w:rPr>
              <w:t xml:space="preserve">the relevant </w:t>
            </w:r>
            <w:proofErr w:type="gramStart"/>
            <w:r w:rsidR="005B1FBE">
              <w:rPr>
                <w:color w:val="000000"/>
              </w:rPr>
              <w:t>n</w:t>
            </w:r>
            <w:r w:rsidRPr="00876122">
              <w:rPr>
                <w:color w:val="000000"/>
              </w:rPr>
              <w:t>etworks;</w:t>
            </w:r>
            <w:proofErr w:type="gramEnd"/>
          </w:p>
          <w:p w14:paraId="31EB8EEF" w14:textId="2265FE6F" w:rsidR="00F47FDE" w:rsidRPr="00876122" w:rsidRDefault="00F47FDE" w:rsidP="00EC0AFD">
            <w:pPr>
              <w:numPr>
                <w:ilvl w:val="0"/>
                <w:numId w:val="7"/>
              </w:numPr>
              <w:shd w:val="clear" w:color="auto" w:fill="FFFFFF"/>
              <w:spacing w:before="0" w:after="0"/>
              <w:rPr>
                <w:color w:val="000000"/>
              </w:rPr>
            </w:pPr>
            <w:r w:rsidRPr="00876122">
              <w:rPr>
                <w:color w:val="000000"/>
              </w:rPr>
              <w:t>Improved promotion of the rule of law, independence and impartiality of the judiciary, including by supporting efforts to improve the effectiveness of national justice systems, particularly through</w:t>
            </w:r>
            <w:r w:rsidR="001B61DD">
              <w:rPr>
                <w:color w:val="000000"/>
              </w:rPr>
              <w:t>:</w:t>
            </w:r>
            <w:r w:rsidRPr="00876122">
              <w:rPr>
                <w:color w:val="000000"/>
              </w:rPr>
              <w:t xml:space="preserve"> </w:t>
            </w:r>
            <w:r w:rsidR="00894636">
              <w:rPr>
                <w:color w:val="000000"/>
              </w:rPr>
              <w:t xml:space="preserve">the </w:t>
            </w:r>
            <w:r w:rsidRPr="00876122">
              <w:rPr>
                <w:color w:val="000000"/>
              </w:rPr>
              <w:t>collection of information on</w:t>
            </w:r>
            <w:r w:rsidR="00894636">
              <w:rPr>
                <w:color w:val="000000"/>
              </w:rPr>
              <w:t xml:space="preserve"> the</w:t>
            </w:r>
            <w:r w:rsidRPr="00876122">
              <w:rPr>
                <w:color w:val="000000"/>
              </w:rPr>
              <w:t xml:space="preserve"> rule</w:t>
            </w:r>
            <w:r w:rsidR="00D64198">
              <w:rPr>
                <w:color w:val="000000"/>
              </w:rPr>
              <w:t>-</w:t>
            </w:r>
            <w:r w:rsidRPr="00876122">
              <w:rPr>
                <w:color w:val="000000"/>
              </w:rPr>
              <w:t>of</w:t>
            </w:r>
            <w:r w:rsidR="00D64198">
              <w:rPr>
                <w:color w:val="000000"/>
              </w:rPr>
              <w:t>-</w:t>
            </w:r>
            <w:r w:rsidRPr="00876122">
              <w:rPr>
                <w:color w:val="000000"/>
              </w:rPr>
              <w:t>law situation at national level</w:t>
            </w:r>
            <w:r w:rsidR="001B61DD">
              <w:rPr>
                <w:color w:val="000000"/>
              </w:rPr>
              <w:t>;</w:t>
            </w:r>
            <w:r w:rsidRPr="00876122">
              <w:rPr>
                <w:color w:val="000000"/>
              </w:rPr>
              <w:t xml:space="preserve"> the collection of data on the independence, quality and efficiency of national justice systems</w:t>
            </w:r>
            <w:r w:rsidR="001B61DD">
              <w:rPr>
                <w:color w:val="000000"/>
              </w:rPr>
              <w:t xml:space="preserve">; </w:t>
            </w:r>
            <w:r w:rsidR="00894636">
              <w:rPr>
                <w:color w:val="000000"/>
              </w:rPr>
              <w:t>and the</w:t>
            </w:r>
            <w:r w:rsidRPr="00876122">
              <w:rPr>
                <w:color w:val="000000"/>
              </w:rPr>
              <w:t xml:space="preserve"> promotion and upholding of European standards and best practices in these areas.</w:t>
            </w:r>
          </w:p>
          <w:p w14:paraId="34D73251" w14:textId="77777777" w:rsidR="00F47FDE" w:rsidRPr="00876122" w:rsidRDefault="00F47FDE" w:rsidP="00F47FDE">
            <w:pPr>
              <w:shd w:val="clear" w:color="auto" w:fill="FFFFFF"/>
              <w:spacing w:before="0" w:after="0"/>
              <w:jc w:val="left"/>
              <w:rPr>
                <w:b/>
                <w:bCs/>
                <w:color w:val="000000"/>
              </w:rPr>
            </w:pPr>
          </w:p>
          <w:p w14:paraId="3EB21432" w14:textId="77777777" w:rsidR="00F47FDE" w:rsidRPr="00876122" w:rsidRDefault="00F47FDE" w:rsidP="00F47FDE">
            <w:pPr>
              <w:shd w:val="clear" w:color="auto" w:fill="FFFFFF"/>
              <w:spacing w:before="0" w:after="0"/>
              <w:jc w:val="left"/>
              <w:rPr>
                <w:color w:val="000000"/>
              </w:rPr>
            </w:pPr>
            <w:r w:rsidRPr="00876122">
              <w:rPr>
                <w:b/>
                <w:bCs/>
                <w:color w:val="000000"/>
              </w:rPr>
              <w:t>In the area of access to justice</w:t>
            </w:r>
            <w:r w:rsidRPr="00876122">
              <w:rPr>
                <w:color w:val="000000"/>
              </w:rPr>
              <w:t>:</w:t>
            </w:r>
          </w:p>
          <w:p w14:paraId="50BD9E4A" w14:textId="77777777" w:rsidR="00F47FDE" w:rsidRPr="00876122" w:rsidRDefault="00F47FDE" w:rsidP="00997E66">
            <w:pPr>
              <w:shd w:val="clear" w:color="auto" w:fill="FFFFFF"/>
              <w:spacing w:before="0" w:after="0"/>
              <w:ind w:left="360"/>
              <w:jc w:val="left"/>
              <w:rPr>
                <w:color w:val="000000"/>
              </w:rPr>
            </w:pPr>
          </w:p>
          <w:p w14:paraId="156E500E" w14:textId="2A62E672" w:rsidR="00F47FDE" w:rsidRPr="00876122" w:rsidRDefault="00F47FDE" w:rsidP="00EC0AFD">
            <w:pPr>
              <w:numPr>
                <w:ilvl w:val="0"/>
                <w:numId w:val="9"/>
              </w:numPr>
              <w:shd w:val="clear" w:color="auto" w:fill="FFFFFF"/>
              <w:spacing w:before="0" w:after="0"/>
              <w:rPr>
                <w:color w:val="000000"/>
              </w:rPr>
            </w:pPr>
            <w:r w:rsidRPr="00876122">
              <w:rPr>
                <w:color w:val="000000"/>
              </w:rPr>
              <w:t>Improved knowledge of European judicial systems and increased capacity of national practitioners and authorities to address issues related to the application of EU law, including</w:t>
            </w:r>
            <w:r w:rsidR="00783722">
              <w:rPr>
                <w:color w:val="000000"/>
              </w:rPr>
              <w:t xml:space="preserve"> by</w:t>
            </w:r>
            <w:r w:rsidRPr="00876122">
              <w:rPr>
                <w:color w:val="000000"/>
              </w:rPr>
              <w:t xml:space="preserve"> considering the relevant case</w:t>
            </w:r>
            <w:r w:rsidR="00625E84">
              <w:rPr>
                <w:color w:val="000000"/>
              </w:rPr>
              <w:t xml:space="preserve"> </w:t>
            </w:r>
            <w:r w:rsidRPr="00876122">
              <w:rPr>
                <w:color w:val="000000"/>
              </w:rPr>
              <w:t xml:space="preserve">law of the </w:t>
            </w:r>
            <w:proofErr w:type="gramStart"/>
            <w:r w:rsidRPr="00876122">
              <w:rPr>
                <w:color w:val="000000"/>
              </w:rPr>
              <w:t>CJEU;</w:t>
            </w:r>
            <w:proofErr w:type="gramEnd"/>
          </w:p>
          <w:p w14:paraId="4401F464" w14:textId="2367A3C7" w:rsidR="00F47FDE" w:rsidRPr="00876122" w:rsidRDefault="00B55BD4" w:rsidP="00EC0AFD">
            <w:pPr>
              <w:numPr>
                <w:ilvl w:val="0"/>
                <w:numId w:val="9"/>
              </w:numPr>
              <w:shd w:val="clear" w:color="auto" w:fill="FFFFFF"/>
              <w:spacing w:before="0" w:after="0"/>
              <w:rPr>
                <w:color w:val="000000"/>
              </w:rPr>
            </w:pPr>
            <w:r>
              <w:rPr>
                <w:color w:val="000000"/>
              </w:rPr>
              <w:t xml:space="preserve">Alignment </w:t>
            </w:r>
            <w:r w:rsidR="00F47FDE" w:rsidRPr="00876122">
              <w:rPr>
                <w:color w:val="000000"/>
              </w:rPr>
              <w:t>of national legal framework</w:t>
            </w:r>
            <w:r w:rsidR="00FF575F">
              <w:rPr>
                <w:color w:val="000000"/>
              </w:rPr>
              <w:t>s</w:t>
            </w:r>
            <w:r w:rsidR="00F47FDE" w:rsidRPr="00876122">
              <w:rPr>
                <w:color w:val="000000"/>
              </w:rPr>
              <w:t>, regulations and administrative practice</w:t>
            </w:r>
            <w:r w:rsidR="00FF575F">
              <w:rPr>
                <w:color w:val="000000"/>
              </w:rPr>
              <w:t>s</w:t>
            </w:r>
            <w:r w:rsidR="00F47FDE" w:rsidRPr="00876122">
              <w:rPr>
                <w:color w:val="000000"/>
              </w:rPr>
              <w:t xml:space="preserve"> </w:t>
            </w:r>
            <w:r w:rsidR="00C82BA0">
              <w:rPr>
                <w:color w:val="000000"/>
              </w:rPr>
              <w:t>relating</w:t>
            </w:r>
            <w:r w:rsidR="00C82BA0" w:rsidRPr="00876122">
              <w:rPr>
                <w:color w:val="000000"/>
              </w:rPr>
              <w:t xml:space="preserve"> </w:t>
            </w:r>
            <w:r w:rsidR="00F47FDE" w:rsidRPr="00876122">
              <w:rPr>
                <w:color w:val="000000"/>
              </w:rPr>
              <w:t>to the rights</w:t>
            </w:r>
            <w:r w:rsidR="00D12FA0">
              <w:rPr>
                <w:color w:val="000000"/>
              </w:rPr>
              <w:t xml:space="preserve"> of victims</w:t>
            </w:r>
            <w:r w:rsidR="003B1D65">
              <w:rPr>
                <w:color w:val="000000"/>
              </w:rPr>
              <w:t xml:space="preserve"> of crime</w:t>
            </w:r>
            <w:r w:rsidR="00D12FA0">
              <w:rPr>
                <w:color w:val="000000"/>
              </w:rPr>
              <w:t xml:space="preserve"> and the rights </w:t>
            </w:r>
            <w:r w:rsidR="00F47FDE" w:rsidRPr="00876122">
              <w:rPr>
                <w:color w:val="000000"/>
              </w:rPr>
              <w:t>of</w:t>
            </w:r>
            <w:r w:rsidR="004C4458">
              <w:rPr>
                <w:color w:val="000000"/>
              </w:rPr>
              <w:t xml:space="preserve"> </w:t>
            </w:r>
            <w:r w:rsidR="00F47FDE" w:rsidRPr="00876122">
              <w:rPr>
                <w:color w:val="000000"/>
              </w:rPr>
              <w:t xml:space="preserve">persons suspected or accused in criminal proceedings with </w:t>
            </w:r>
            <w:r w:rsidR="00D32E2B">
              <w:rPr>
                <w:color w:val="000000"/>
              </w:rPr>
              <w:t xml:space="preserve">the </w:t>
            </w:r>
            <w:r w:rsidR="00F47FDE" w:rsidRPr="00876122">
              <w:rPr>
                <w:color w:val="000000"/>
              </w:rPr>
              <w:t xml:space="preserve">EU </w:t>
            </w:r>
            <w:proofErr w:type="gramStart"/>
            <w:r w:rsidR="00876122">
              <w:rPr>
                <w:i/>
                <w:color w:val="000000"/>
              </w:rPr>
              <w:t>acquis</w:t>
            </w:r>
            <w:r w:rsidR="00F47FDE" w:rsidRPr="00876122">
              <w:rPr>
                <w:color w:val="000000"/>
              </w:rPr>
              <w:t>;</w:t>
            </w:r>
            <w:proofErr w:type="gramEnd"/>
          </w:p>
          <w:p w14:paraId="1A0968DD" w14:textId="3709524A" w:rsidR="00F47FDE" w:rsidRPr="00876122" w:rsidRDefault="00F47FDE" w:rsidP="00EC0AFD">
            <w:pPr>
              <w:numPr>
                <w:ilvl w:val="0"/>
                <w:numId w:val="9"/>
              </w:numPr>
              <w:shd w:val="clear" w:color="auto" w:fill="FFFFFF"/>
              <w:spacing w:before="0" w:after="0"/>
              <w:rPr>
                <w:color w:val="000000"/>
              </w:rPr>
            </w:pPr>
            <w:r w:rsidRPr="00876122">
              <w:rPr>
                <w:color w:val="000000"/>
              </w:rPr>
              <w:t>Improved promotion of the rule of law, independence and impartiality of the judiciary, including by supporting efforts to improve the effectiveness of national justice systems, particularly through</w:t>
            </w:r>
            <w:r w:rsidR="00486073">
              <w:rPr>
                <w:color w:val="000000"/>
              </w:rPr>
              <w:t>: the</w:t>
            </w:r>
            <w:r w:rsidRPr="00876122">
              <w:rPr>
                <w:color w:val="000000"/>
              </w:rPr>
              <w:t xml:space="preserve"> collection of information on</w:t>
            </w:r>
            <w:r w:rsidR="00943109">
              <w:rPr>
                <w:color w:val="000000"/>
              </w:rPr>
              <w:t xml:space="preserve"> the</w:t>
            </w:r>
            <w:r w:rsidRPr="00876122">
              <w:rPr>
                <w:color w:val="000000"/>
              </w:rPr>
              <w:t xml:space="preserve"> rule</w:t>
            </w:r>
            <w:r w:rsidR="006248BE">
              <w:rPr>
                <w:color w:val="000000"/>
              </w:rPr>
              <w:t>-</w:t>
            </w:r>
            <w:r w:rsidRPr="00876122">
              <w:rPr>
                <w:color w:val="000000"/>
              </w:rPr>
              <w:t>of</w:t>
            </w:r>
            <w:r w:rsidR="006248BE">
              <w:rPr>
                <w:color w:val="000000"/>
              </w:rPr>
              <w:t>-</w:t>
            </w:r>
            <w:r w:rsidRPr="00876122">
              <w:rPr>
                <w:color w:val="000000"/>
              </w:rPr>
              <w:t>law situation at national level</w:t>
            </w:r>
            <w:r w:rsidR="00943109">
              <w:rPr>
                <w:color w:val="000000"/>
              </w:rPr>
              <w:t>;</w:t>
            </w:r>
            <w:r w:rsidRPr="00876122">
              <w:rPr>
                <w:color w:val="000000"/>
              </w:rPr>
              <w:t xml:space="preserve"> the collection of data on the independence, quality and efficiency of national justice systems</w:t>
            </w:r>
            <w:r w:rsidR="00943109">
              <w:rPr>
                <w:color w:val="000000"/>
              </w:rPr>
              <w:t>; and the</w:t>
            </w:r>
            <w:r w:rsidRPr="00876122">
              <w:rPr>
                <w:color w:val="000000"/>
              </w:rPr>
              <w:t xml:space="preserve"> promotion and upholding of European standards and best practices in these areas;</w:t>
            </w:r>
          </w:p>
          <w:p w14:paraId="7608932A" w14:textId="33F587A7" w:rsidR="00F47FDE" w:rsidRPr="00876122" w:rsidRDefault="00F47FDE" w:rsidP="00EC0AFD">
            <w:pPr>
              <w:numPr>
                <w:ilvl w:val="0"/>
                <w:numId w:val="9"/>
              </w:numPr>
              <w:shd w:val="clear" w:color="auto" w:fill="FFFFFF"/>
              <w:spacing w:before="0" w:after="0"/>
              <w:rPr>
                <w:color w:val="000000"/>
              </w:rPr>
            </w:pPr>
            <w:r w:rsidRPr="00876122">
              <w:rPr>
                <w:color w:val="000000"/>
              </w:rPr>
              <w:t>Strengthened cooperation and exchange of information between competent national authorities, European networks, NGOs and/or professional organisations</w:t>
            </w:r>
            <w:r w:rsidR="0092317A">
              <w:rPr>
                <w:color w:val="000000"/>
              </w:rPr>
              <w:t xml:space="preserve"> on </w:t>
            </w:r>
            <w:r w:rsidR="003523E2">
              <w:rPr>
                <w:color w:val="000000"/>
              </w:rPr>
              <w:t>victims’</w:t>
            </w:r>
            <w:r w:rsidRPr="00876122">
              <w:rPr>
                <w:color w:val="000000"/>
              </w:rPr>
              <w:t xml:space="preserve"> rights</w:t>
            </w:r>
            <w:r w:rsidR="0026191B">
              <w:rPr>
                <w:color w:val="000000"/>
              </w:rPr>
              <w:t xml:space="preserve"> and the rights</w:t>
            </w:r>
            <w:r w:rsidRPr="00876122">
              <w:rPr>
                <w:color w:val="000000"/>
              </w:rPr>
              <w:t xml:space="preserve"> of persons suspected or accused of </w:t>
            </w:r>
            <w:proofErr w:type="gramStart"/>
            <w:r w:rsidRPr="00876122">
              <w:rPr>
                <w:color w:val="000000"/>
              </w:rPr>
              <w:t>crime;</w:t>
            </w:r>
            <w:proofErr w:type="gramEnd"/>
          </w:p>
          <w:p w14:paraId="4202AAE4" w14:textId="311D5C45" w:rsidR="00F47FDE" w:rsidRPr="00876122" w:rsidRDefault="00F47FDE" w:rsidP="00EC0AFD">
            <w:pPr>
              <w:numPr>
                <w:ilvl w:val="0"/>
                <w:numId w:val="9"/>
              </w:numPr>
              <w:shd w:val="clear" w:color="auto" w:fill="FFFFFF"/>
              <w:spacing w:before="0" w:after="0"/>
              <w:rPr>
                <w:color w:val="000000"/>
              </w:rPr>
            </w:pPr>
            <w:r w:rsidRPr="00876122">
              <w:rPr>
                <w:color w:val="000000"/>
              </w:rPr>
              <w:t xml:space="preserve">Reduced risks of breaches of fair trial </w:t>
            </w:r>
            <w:proofErr w:type="gramStart"/>
            <w:r w:rsidRPr="00876122">
              <w:rPr>
                <w:color w:val="000000"/>
              </w:rPr>
              <w:t>rights;</w:t>
            </w:r>
            <w:proofErr w:type="gramEnd"/>
          </w:p>
          <w:p w14:paraId="7B62D7BF" w14:textId="1A3ED45E" w:rsidR="00F47FDE" w:rsidRPr="00876122" w:rsidRDefault="00F47FDE" w:rsidP="00EC0AFD">
            <w:pPr>
              <w:numPr>
                <w:ilvl w:val="0"/>
                <w:numId w:val="9"/>
              </w:numPr>
              <w:shd w:val="clear" w:color="auto" w:fill="FFFFFF"/>
              <w:spacing w:before="0" w:after="0"/>
              <w:rPr>
                <w:color w:val="000000"/>
              </w:rPr>
            </w:pPr>
            <w:r w:rsidRPr="00876122">
              <w:rPr>
                <w:color w:val="000000"/>
              </w:rPr>
              <w:t xml:space="preserve">Improved public awareness and knowledge, </w:t>
            </w:r>
            <w:r w:rsidR="008256D9">
              <w:rPr>
                <w:color w:val="000000"/>
              </w:rPr>
              <w:t xml:space="preserve">including </w:t>
            </w:r>
            <w:r w:rsidRPr="00876122">
              <w:rPr>
                <w:color w:val="000000"/>
              </w:rPr>
              <w:t>among relevant policy makers, about</w:t>
            </w:r>
            <w:r w:rsidR="001C6C48">
              <w:rPr>
                <w:color w:val="000000"/>
              </w:rPr>
              <w:t xml:space="preserve"> victims’ rights and </w:t>
            </w:r>
            <w:r w:rsidR="00AB4CC0">
              <w:rPr>
                <w:color w:val="000000"/>
              </w:rPr>
              <w:t xml:space="preserve">the </w:t>
            </w:r>
            <w:r w:rsidRPr="00876122">
              <w:rPr>
                <w:color w:val="000000"/>
              </w:rPr>
              <w:t xml:space="preserve">procedural rights of suspected and accused persons at both EU and national </w:t>
            </w:r>
            <w:proofErr w:type="gramStart"/>
            <w:r w:rsidRPr="00876122">
              <w:rPr>
                <w:color w:val="000000"/>
              </w:rPr>
              <w:t>level;</w:t>
            </w:r>
            <w:proofErr w:type="gramEnd"/>
          </w:p>
          <w:p w14:paraId="19FBC24F" w14:textId="194EB0A0" w:rsidR="00F47FDE" w:rsidRPr="00876122" w:rsidRDefault="00F47FDE" w:rsidP="00EC0AFD">
            <w:pPr>
              <w:numPr>
                <w:ilvl w:val="0"/>
                <w:numId w:val="9"/>
              </w:numPr>
              <w:shd w:val="clear" w:color="auto" w:fill="FFFFFF"/>
              <w:spacing w:before="0" w:after="0"/>
              <w:rPr>
                <w:color w:val="000000"/>
              </w:rPr>
            </w:pPr>
            <w:r w:rsidRPr="00876122">
              <w:rPr>
                <w:color w:val="000000"/>
              </w:rPr>
              <w:t>Increased awareness and knowledge on the use of digital and AI tools in criminal proceedings (in particular the use of videoconferencing technology) and its impact (</w:t>
            </w:r>
            <w:r w:rsidR="00852DE4">
              <w:rPr>
                <w:color w:val="000000"/>
              </w:rPr>
              <w:t>benefits</w:t>
            </w:r>
            <w:r w:rsidR="00852DE4" w:rsidRPr="00876122">
              <w:rPr>
                <w:color w:val="000000"/>
              </w:rPr>
              <w:t xml:space="preserve"> </w:t>
            </w:r>
            <w:r w:rsidRPr="00876122">
              <w:rPr>
                <w:color w:val="000000"/>
              </w:rPr>
              <w:t>and risks) on</w:t>
            </w:r>
            <w:r w:rsidR="00B00BA1">
              <w:rPr>
                <w:color w:val="000000"/>
              </w:rPr>
              <w:t xml:space="preserve"> victims’ rights and on</w:t>
            </w:r>
            <w:r w:rsidRPr="00876122">
              <w:rPr>
                <w:color w:val="000000"/>
              </w:rPr>
              <w:t xml:space="preserve"> the procedural rights of suspected and accused persons at both EU and national </w:t>
            </w:r>
            <w:proofErr w:type="gramStart"/>
            <w:r w:rsidRPr="00876122">
              <w:rPr>
                <w:color w:val="000000"/>
              </w:rPr>
              <w:t>level;</w:t>
            </w:r>
            <w:proofErr w:type="gramEnd"/>
          </w:p>
          <w:p w14:paraId="6A5A175B" w14:textId="12F73117" w:rsidR="00F47FDE" w:rsidRPr="00876122" w:rsidRDefault="00F47FDE" w:rsidP="00EC0AFD">
            <w:pPr>
              <w:numPr>
                <w:ilvl w:val="0"/>
                <w:numId w:val="9"/>
              </w:numPr>
              <w:shd w:val="clear" w:color="auto" w:fill="FFFFFF"/>
              <w:spacing w:before="0" w:after="0"/>
              <w:rPr>
                <w:color w:val="000000"/>
              </w:rPr>
            </w:pPr>
            <w:r w:rsidRPr="00876122">
              <w:rPr>
                <w:color w:val="000000"/>
              </w:rPr>
              <w:t xml:space="preserve">Increased awareness and knowledge about the specific needs of the most vulnerable victims, including victims of terrorism, and </w:t>
            </w:r>
            <w:r w:rsidR="00C73A6C">
              <w:rPr>
                <w:color w:val="000000"/>
              </w:rPr>
              <w:t xml:space="preserve">the </w:t>
            </w:r>
            <w:r w:rsidRPr="00876122">
              <w:rPr>
                <w:color w:val="000000"/>
              </w:rPr>
              <w:t xml:space="preserve">most vulnerable suspects and accused </w:t>
            </w:r>
            <w:proofErr w:type="gramStart"/>
            <w:r w:rsidRPr="00876122">
              <w:rPr>
                <w:color w:val="000000"/>
              </w:rPr>
              <w:t>persons;</w:t>
            </w:r>
            <w:proofErr w:type="gramEnd"/>
          </w:p>
          <w:p w14:paraId="1D3EE2EA" w14:textId="27B3797B" w:rsidR="00F47FDE" w:rsidRPr="00876122" w:rsidRDefault="00F47FDE" w:rsidP="00EC0AFD">
            <w:pPr>
              <w:numPr>
                <w:ilvl w:val="0"/>
                <w:numId w:val="9"/>
              </w:numPr>
              <w:shd w:val="clear" w:color="auto" w:fill="FFFFFF"/>
              <w:spacing w:before="0" w:after="0"/>
              <w:rPr>
                <w:color w:val="000000"/>
              </w:rPr>
            </w:pPr>
            <w:r w:rsidRPr="00876122">
              <w:rPr>
                <w:color w:val="000000"/>
              </w:rPr>
              <w:t xml:space="preserve">Improved knowledge about specific provisions of the EU </w:t>
            </w:r>
            <w:r w:rsidR="00876122">
              <w:rPr>
                <w:i/>
                <w:color w:val="000000"/>
              </w:rPr>
              <w:t>acquis</w:t>
            </w:r>
            <w:r w:rsidRPr="00876122">
              <w:rPr>
                <w:color w:val="000000"/>
              </w:rPr>
              <w:t xml:space="preserve"> regulating issues such as</w:t>
            </w:r>
            <w:r w:rsidR="005D5EAD">
              <w:rPr>
                <w:color w:val="000000"/>
              </w:rPr>
              <w:t>:</w:t>
            </w:r>
            <w:r w:rsidRPr="00876122">
              <w:rPr>
                <w:color w:val="000000"/>
              </w:rPr>
              <w:t xml:space="preserve"> </w:t>
            </w:r>
            <w:r w:rsidR="00AA2FE2">
              <w:rPr>
                <w:color w:val="000000"/>
              </w:rPr>
              <w:t>the referral of</w:t>
            </w:r>
            <w:r w:rsidR="00AA2FE2" w:rsidRPr="00876122">
              <w:rPr>
                <w:color w:val="000000"/>
              </w:rPr>
              <w:t xml:space="preserve"> </w:t>
            </w:r>
            <w:r w:rsidRPr="00876122">
              <w:rPr>
                <w:color w:val="000000"/>
              </w:rPr>
              <w:t>victims to the relevant support services</w:t>
            </w:r>
            <w:r w:rsidR="005D5EAD">
              <w:rPr>
                <w:color w:val="000000"/>
              </w:rPr>
              <w:t>;</w:t>
            </w:r>
            <w:r w:rsidRPr="00876122">
              <w:rPr>
                <w:color w:val="000000"/>
              </w:rPr>
              <w:t xml:space="preserve"> victims</w:t>
            </w:r>
            <w:r w:rsidR="00876122">
              <w:rPr>
                <w:color w:val="000000"/>
              </w:rPr>
              <w:t>’</w:t>
            </w:r>
            <w:r w:rsidRPr="00876122">
              <w:rPr>
                <w:color w:val="000000"/>
              </w:rPr>
              <w:t xml:space="preserve"> access to information </w:t>
            </w:r>
            <w:r w:rsidR="00327974">
              <w:rPr>
                <w:color w:val="000000"/>
              </w:rPr>
              <w:t>on</w:t>
            </w:r>
            <w:r w:rsidRPr="00876122">
              <w:rPr>
                <w:color w:val="000000"/>
              </w:rPr>
              <w:t xml:space="preserve"> </w:t>
            </w:r>
            <w:r w:rsidR="00327974">
              <w:rPr>
                <w:color w:val="000000"/>
              </w:rPr>
              <w:t xml:space="preserve">their </w:t>
            </w:r>
            <w:r w:rsidRPr="00876122">
              <w:rPr>
                <w:color w:val="000000"/>
              </w:rPr>
              <w:t>rights</w:t>
            </w:r>
            <w:r w:rsidR="005D5EAD">
              <w:rPr>
                <w:color w:val="000000"/>
              </w:rPr>
              <w:t>;</w:t>
            </w:r>
            <w:r w:rsidRPr="00876122">
              <w:rPr>
                <w:color w:val="000000"/>
              </w:rPr>
              <w:t xml:space="preserve"> individual assessment of victims</w:t>
            </w:r>
            <w:r w:rsidR="00876122">
              <w:rPr>
                <w:color w:val="000000"/>
              </w:rPr>
              <w:t>’</w:t>
            </w:r>
            <w:r w:rsidRPr="00876122">
              <w:rPr>
                <w:color w:val="000000"/>
              </w:rPr>
              <w:t xml:space="preserve"> needs</w:t>
            </w:r>
            <w:r w:rsidR="005D5EAD">
              <w:rPr>
                <w:color w:val="000000"/>
              </w:rPr>
              <w:t>;</w:t>
            </w:r>
            <w:r w:rsidRPr="00876122">
              <w:rPr>
                <w:color w:val="000000"/>
              </w:rPr>
              <w:t xml:space="preserve"> </w:t>
            </w:r>
            <w:r w:rsidR="005D5EAD">
              <w:rPr>
                <w:color w:val="000000"/>
              </w:rPr>
              <w:t xml:space="preserve">and the </w:t>
            </w:r>
            <w:r w:rsidRPr="00876122">
              <w:rPr>
                <w:color w:val="000000"/>
              </w:rPr>
              <w:t>use of procedural means to protect victims during criminal trial, including</w:t>
            </w:r>
            <w:r w:rsidR="001C4DDD">
              <w:rPr>
                <w:color w:val="000000"/>
              </w:rPr>
              <w:t xml:space="preserve"> the</w:t>
            </w:r>
            <w:r w:rsidRPr="00876122">
              <w:rPr>
                <w:color w:val="000000"/>
              </w:rPr>
              <w:t xml:space="preserve"> use of remote hearings and video </w:t>
            </w:r>
            <w:proofErr w:type="gramStart"/>
            <w:r w:rsidRPr="00876122">
              <w:rPr>
                <w:color w:val="000000"/>
              </w:rPr>
              <w:t>testimonies;</w:t>
            </w:r>
            <w:proofErr w:type="gramEnd"/>
          </w:p>
          <w:p w14:paraId="1093F138" w14:textId="09623DEA" w:rsidR="00F47FDE" w:rsidRPr="00876122" w:rsidRDefault="00F47FDE" w:rsidP="00EC0AFD">
            <w:pPr>
              <w:numPr>
                <w:ilvl w:val="0"/>
                <w:numId w:val="9"/>
              </w:numPr>
              <w:shd w:val="clear" w:color="auto" w:fill="FFFFFF"/>
              <w:spacing w:before="0" w:after="0"/>
              <w:rPr>
                <w:color w:val="000000"/>
              </w:rPr>
            </w:pPr>
            <w:r w:rsidRPr="00876122">
              <w:rPr>
                <w:color w:val="000000"/>
              </w:rPr>
              <w:t>I</w:t>
            </w:r>
            <w:r w:rsidRPr="00876122">
              <w:rPr>
                <w:color w:val="000000"/>
                <w:lang w:eastAsia="en-GB"/>
              </w:rPr>
              <w:t xml:space="preserve">mproved knowledge about legal remedies available for victims in case of a violation of their rights as well as </w:t>
            </w:r>
            <w:r w:rsidR="006A3CC4">
              <w:rPr>
                <w:color w:val="000000"/>
                <w:lang w:eastAsia="en-GB"/>
              </w:rPr>
              <w:t>increased knowled</w:t>
            </w:r>
            <w:r w:rsidR="00C90E40">
              <w:rPr>
                <w:color w:val="000000"/>
                <w:lang w:eastAsia="en-GB"/>
              </w:rPr>
              <w:t xml:space="preserve">ge </w:t>
            </w:r>
            <w:r w:rsidRPr="00876122">
              <w:rPr>
                <w:color w:val="000000"/>
                <w:lang w:eastAsia="en-GB"/>
              </w:rPr>
              <w:t xml:space="preserve">about </w:t>
            </w:r>
            <w:r w:rsidR="003B72B7">
              <w:rPr>
                <w:color w:val="000000"/>
                <w:lang w:eastAsia="en-GB"/>
              </w:rPr>
              <w:t xml:space="preserve">the </w:t>
            </w:r>
            <w:r w:rsidRPr="00876122">
              <w:rPr>
                <w:color w:val="000000"/>
                <w:lang w:eastAsia="en-GB"/>
              </w:rPr>
              <w:t xml:space="preserve">challenges and benefits </w:t>
            </w:r>
            <w:r w:rsidR="00C91EF5">
              <w:rPr>
                <w:color w:val="000000"/>
                <w:lang w:eastAsia="en-GB"/>
              </w:rPr>
              <w:t xml:space="preserve">of </w:t>
            </w:r>
            <w:r w:rsidRPr="00876122">
              <w:rPr>
                <w:color w:val="000000"/>
                <w:lang w:eastAsia="en-GB"/>
              </w:rPr>
              <w:t>digitalisation of justice</w:t>
            </w:r>
            <w:r w:rsidR="00A84A96">
              <w:rPr>
                <w:color w:val="000000"/>
                <w:lang w:eastAsia="en-GB"/>
              </w:rPr>
              <w:t xml:space="preserve"> for </w:t>
            </w:r>
            <w:proofErr w:type="gramStart"/>
            <w:r w:rsidR="00A84A96">
              <w:rPr>
                <w:color w:val="000000"/>
                <w:lang w:eastAsia="en-GB"/>
              </w:rPr>
              <w:t>victims</w:t>
            </w:r>
            <w:r w:rsidRPr="00876122">
              <w:rPr>
                <w:color w:val="000000"/>
                <w:lang w:eastAsia="en-GB"/>
              </w:rPr>
              <w:t>;</w:t>
            </w:r>
            <w:proofErr w:type="gramEnd"/>
          </w:p>
          <w:p w14:paraId="1699AC64" w14:textId="18EDE073" w:rsidR="00F47FDE" w:rsidRPr="00876122" w:rsidRDefault="00F47FDE" w:rsidP="00EC0AFD">
            <w:pPr>
              <w:numPr>
                <w:ilvl w:val="0"/>
                <w:numId w:val="9"/>
              </w:numPr>
              <w:shd w:val="clear" w:color="auto" w:fill="FFFFFF"/>
              <w:spacing w:before="0" w:after="0"/>
              <w:rPr>
                <w:color w:val="000000"/>
              </w:rPr>
            </w:pPr>
            <w:r w:rsidRPr="00876122">
              <w:rPr>
                <w:color w:val="000000"/>
              </w:rPr>
              <w:t xml:space="preserve">Improved support services </w:t>
            </w:r>
            <w:r w:rsidR="00F6595D">
              <w:rPr>
                <w:color w:val="000000"/>
              </w:rPr>
              <w:t>for</w:t>
            </w:r>
            <w:r w:rsidRPr="00876122">
              <w:rPr>
                <w:color w:val="000000"/>
              </w:rPr>
              <w:t xml:space="preserve"> victims through:</w:t>
            </w:r>
          </w:p>
          <w:p w14:paraId="207730E7" w14:textId="41509299" w:rsidR="00F47FDE" w:rsidRPr="00876122" w:rsidRDefault="00F47FDE" w:rsidP="00EC0AFD">
            <w:pPr>
              <w:numPr>
                <w:ilvl w:val="0"/>
                <w:numId w:val="10"/>
              </w:numPr>
              <w:shd w:val="clear" w:color="auto" w:fill="FFFFFF"/>
              <w:spacing w:before="0" w:after="0"/>
              <w:rPr>
                <w:color w:val="000000"/>
              </w:rPr>
            </w:pPr>
            <w:r w:rsidRPr="00876122">
              <w:rPr>
                <w:color w:val="000000"/>
              </w:rPr>
              <w:t>Increased number of victims</w:t>
            </w:r>
            <w:r w:rsidR="00876122">
              <w:rPr>
                <w:color w:val="000000"/>
              </w:rPr>
              <w:t>’</w:t>
            </w:r>
            <w:r w:rsidRPr="00876122">
              <w:rPr>
                <w:color w:val="000000"/>
              </w:rPr>
              <w:t xml:space="preserve"> support organisations providing general and specialist support services to victims of crimes and their family members, in particular in those Member States wh</w:t>
            </w:r>
            <w:r w:rsidR="003E767E">
              <w:rPr>
                <w:color w:val="000000"/>
              </w:rPr>
              <w:t>ich</w:t>
            </w:r>
            <w:r w:rsidRPr="00876122">
              <w:rPr>
                <w:color w:val="000000"/>
              </w:rPr>
              <w:t xml:space="preserve"> currently do not provide</w:t>
            </w:r>
            <w:r w:rsidR="003235EC">
              <w:rPr>
                <w:color w:val="000000"/>
              </w:rPr>
              <w:t xml:space="preserve"> </w:t>
            </w:r>
            <w:r w:rsidRPr="00876122">
              <w:rPr>
                <w:color w:val="000000"/>
              </w:rPr>
              <w:t>or provid</w:t>
            </w:r>
            <w:r w:rsidRPr="009D0D65">
              <w:rPr>
                <w:color w:val="000000"/>
              </w:rPr>
              <w:t xml:space="preserve">e </w:t>
            </w:r>
            <w:r w:rsidR="009D0D65">
              <w:rPr>
                <w:color w:val="000000"/>
              </w:rPr>
              <w:t>only a limited number</w:t>
            </w:r>
            <w:r w:rsidR="00024241">
              <w:rPr>
                <w:color w:val="000000"/>
              </w:rPr>
              <w:t xml:space="preserve"> of such </w:t>
            </w:r>
            <w:proofErr w:type="gramStart"/>
            <w:r w:rsidR="00024241">
              <w:rPr>
                <w:color w:val="000000"/>
              </w:rPr>
              <w:t>services</w:t>
            </w:r>
            <w:r w:rsidR="00D73FD7">
              <w:rPr>
                <w:color w:val="000000"/>
              </w:rPr>
              <w:t>;</w:t>
            </w:r>
            <w:proofErr w:type="gramEnd"/>
          </w:p>
          <w:p w14:paraId="179BC6B7" w14:textId="77777777" w:rsidR="00F47FDE" w:rsidRPr="00876122" w:rsidRDefault="00F47FDE" w:rsidP="00EC0AFD">
            <w:pPr>
              <w:numPr>
                <w:ilvl w:val="0"/>
                <w:numId w:val="10"/>
              </w:numPr>
              <w:shd w:val="clear" w:color="auto" w:fill="FFFFFF"/>
              <w:spacing w:before="0" w:after="0"/>
              <w:rPr>
                <w:color w:val="000000"/>
              </w:rPr>
            </w:pPr>
            <w:r w:rsidRPr="00876122">
              <w:rPr>
                <w:color w:val="000000"/>
              </w:rPr>
              <w:t xml:space="preserve">Increased quality of the services provided by victim support </w:t>
            </w:r>
            <w:proofErr w:type="gramStart"/>
            <w:r w:rsidRPr="00876122">
              <w:rPr>
                <w:color w:val="000000"/>
              </w:rPr>
              <w:t>organisations;</w:t>
            </w:r>
            <w:proofErr w:type="gramEnd"/>
          </w:p>
          <w:p w14:paraId="4E23282E" w14:textId="296BD192" w:rsidR="00F47FDE" w:rsidRPr="00876122" w:rsidRDefault="00F47FDE" w:rsidP="00EC0AFD">
            <w:pPr>
              <w:numPr>
                <w:ilvl w:val="0"/>
                <w:numId w:val="10"/>
              </w:numPr>
              <w:shd w:val="clear" w:color="auto" w:fill="FFFFFF"/>
              <w:spacing w:before="0" w:after="0"/>
              <w:rPr>
                <w:color w:val="000000"/>
              </w:rPr>
            </w:pPr>
            <w:r w:rsidRPr="00876122">
              <w:rPr>
                <w:color w:val="000000"/>
              </w:rPr>
              <w:lastRenderedPageBreak/>
              <w:t xml:space="preserve">Improved knowledge about national compensation schemes, including </w:t>
            </w:r>
            <w:r w:rsidRPr="00876122">
              <w:rPr>
                <w:color w:val="000000"/>
                <w:lang w:eastAsia="en-GB"/>
              </w:rPr>
              <w:t xml:space="preserve">on issues related to the </w:t>
            </w:r>
            <w:r w:rsidRPr="00876122">
              <w:rPr>
                <w:rFonts w:eastAsia="Verdana"/>
                <w:color w:val="000000"/>
              </w:rPr>
              <w:t>EU rules on</w:t>
            </w:r>
            <w:r w:rsidRPr="00876122">
              <w:rPr>
                <w:color w:val="000000"/>
                <w:lang w:eastAsia="en-GB"/>
              </w:rPr>
              <w:t xml:space="preserve"> compensation to victims of crime </w:t>
            </w:r>
            <w:proofErr w:type="gramStart"/>
            <w:r w:rsidRPr="00876122">
              <w:rPr>
                <w:color w:val="000000"/>
                <w:lang w:eastAsia="en-GB"/>
              </w:rPr>
              <w:t>in light of</w:t>
            </w:r>
            <w:proofErr w:type="gramEnd"/>
            <w:r w:rsidRPr="00876122">
              <w:rPr>
                <w:color w:val="000000"/>
                <w:lang w:eastAsia="en-GB"/>
              </w:rPr>
              <w:t xml:space="preserve"> the recent case</w:t>
            </w:r>
            <w:r w:rsidR="00625E84">
              <w:rPr>
                <w:color w:val="000000"/>
                <w:lang w:eastAsia="en-GB"/>
              </w:rPr>
              <w:t xml:space="preserve"> law</w:t>
            </w:r>
            <w:r w:rsidRPr="00876122">
              <w:rPr>
                <w:color w:val="000000"/>
                <w:lang w:eastAsia="en-GB"/>
              </w:rPr>
              <w:t xml:space="preserve"> </w:t>
            </w:r>
            <w:r w:rsidR="006F0C74">
              <w:rPr>
                <w:color w:val="000000"/>
                <w:lang w:eastAsia="en-GB"/>
              </w:rPr>
              <w:t>of</w:t>
            </w:r>
            <w:r w:rsidRPr="00876122">
              <w:rPr>
                <w:color w:val="000000"/>
                <w:lang w:eastAsia="en-GB"/>
              </w:rPr>
              <w:t xml:space="preserve"> the C</w:t>
            </w:r>
            <w:r w:rsidR="00ED306F">
              <w:rPr>
                <w:color w:val="000000"/>
                <w:lang w:eastAsia="en-GB"/>
              </w:rPr>
              <w:t>JEU</w:t>
            </w:r>
            <w:r w:rsidR="00D355C5">
              <w:rPr>
                <w:color w:val="000000"/>
                <w:lang w:eastAsia="en-GB"/>
              </w:rPr>
              <w:t>,</w:t>
            </w:r>
            <w:r w:rsidRPr="00876122">
              <w:rPr>
                <w:color w:val="000000"/>
              </w:rPr>
              <w:t xml:space="preserve"> and increased support for victims claiming compensation.</w:t>
            </w:r>
          </w:p>
        </w:tc>
      </w:tr>
    </w:tbl>
    <w:p w14:paraId="3F08905B" w14:textId="77777777" w:rsidR="00F47FDE" w:rsidRPr="00876122" w:rsidRDefault="00F47FDE" w:rsidP="00FA563B">
      <w:pPr>
        <w:widowControl w:val="0"/>
        <w:shd w:val="clear" w:color="auto" w:fill="FFFFFF"/>
        <w:spacing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lastRenderedPageBreak/>
        <w:t>Implementation</w:t>
      </w:r>
    </w:p>
    <w:p w14:paraId="4696B9DE"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660"/>
        <w:jc w:val="left"/>
        <w:rPr>
          <w:rFonts w:eastAsia="Times New Roman"/>
          <w:color w:val="000000"/>
          <w:szCs w:val="24"/>
          <w:lang w:eastAsia="hr-HR" w:bidi="hr-HR"/>
        </w:rPr>
      </w:pPr>
      <w:r w:rsidRPr="00876122">
        <w:rPr>
          <w:rFonts w:eastAsia="Times New Roman"/>
          <w:color w:val="000000"/>
          <w:szCs w:val="24"/>
          <w:lang w:eastAsia="hr-HR" w:bidi="hr-HR"/>
        </w:rPr>
        <w:t>Direct management by DG JUST</w:t>
      </w:r>
    </w:p>
    <w:p w14:paraId="1F654614" w14:textId="73B6B758" w:rsidR="00F47FDE" w:rsidRPr="00876122" w:rsidRDefault="00F47FDE" w:rsidP="00FA563B">
      <w:pPr>
        <w:pStyle w:val="Heading2"/>
        <w:rPr>
          <w:rFonts w:eastAsia="Times New Roman"/>
          <w:lang w:eastAsia="hr-HR" w:bidi="hr-HR"/>
        </w:rPr>
      </w:pPr>
      <w:bookmarkStart w:id="25" w:name="bookmark73"/>
      <w:bookmarkStart w:id="26" w:name="bookmark72"/>
      <w:bookmarkStart w:id="27" w:name="_Toc205461084"/>
      <w:r w:rsidRPr="00876122">
        <w:rPr>
          <w:rFonts w:eastAsia="Times New Roman"/>
          <w:lang w:eastAsia="hr-HR" w:bidi="hr-HR"/>
        </w:rPr>
        <w:t>Call for proposals for action grants to support transnational projects on judicial training covering civil law, criminal law or fundamental rights</w:t>
      </w:r>
      <w:bookmarkEnd w:id="25"/>
      <w:bookmarkEnd w:id="26"/>
      <w:bookmarkEnd w:id="27"/>
    </w:p>
    <w:p w14:paraId="0B3E2B3C" w14:textId="77777777" w:rsidR="00F47FDE" w:rsidRPr="00876122" w:rsidRDefault="00F47FDE" w:rsidP="00F47FDE">
      <w:pPr>
        <w:widowControl w:val="0"/>
        <w:shd w:val="clear" w:color="auto" w:fill="FFFFFF"/>
        <w:spacing w:before="0"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p w14:paraId="6B0D5896" w14:textId="302D417A"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0"/>
        <w:jc w:val="left"/>
        <w:rPr>
          <w:rFonts w:eastAsia="Times New Roman"/>
          <w:color w:val="000000"/>
          <w:szCs w:val="24"/>
          <w:lang w:eastAsia="hr-HR" w:bidi="hr-HR"/>
        </w:rPr>
      </w:pPr>
      <w:r w:rsidRPr="00876122">
        <w:rPr>
          <w:rFonts w:eastAsia="Times New Roman"/>
          <w:color w:val="000000"/>
          <w:szCs w:val="24"/>
          <w:lang w:eastAsia="hr-HR" w:bidi="hr-HR"/>
        </w:rPr>
        <w:t>Art</w:t>
      </w:r>
      <w:r w:rsidR="002E1BDF">
        <w:rPr>
          <w:rFonts w:eastAsia="Times New Roman"/>
          <w:color w:val="000000"/>
          <w:szCs w:val="24"/>
          <w:lang w:eastAsia="hr-HR" w:bidi="hr-HR"/>
        </w:rPr>
        <w:t>icle</w:t>
      </w:r>
      <w:r w:rsidR="00315FC2">
        <w:rPr>
          <w:rFonts w:eastAsia="Times New Roman"/>
          <w:color w:val="000000"/>
          <w:szCs w:val="24"/>
          <w:lang w:eastAsia="hr-HR" w:bidi="hr-HR"/>
        </w:rPr>
        <w:t>s</w:t>
      </w:r>
      <w:r w:rsidR="00876122">
        <w:rPr>
          <w:rFonts w:eastAsia="Times New Roman"/>
          <w:color w:val="000000"/>
          <w:szCs w:val="24"/>
          <w:lang w:eastAsia="hr-HR" w:bidi="hr-HR"/>
        </w:rPr>
        <w:t> </w:t>
      </w:r>
      <w:r w:rsidRPr="00876122">
        <w:rPr>
          <w:rFonts w:eastAsia="Times New Roman"/>
          <w:color w:val="000000"/>
          <w:szCs w:val="24"/>
          <w:lang w:eastAsia="hr-HR" w:bidi="hr-HR"/>
        </w:rPr>
        <w:t xml:space="preserve">3(2)(b) and </w:t>
      </w:r>
      <w:r w:rsidRPr="00876122">
        <w:rPr>
          <w:rFonts w:eastAsia="Times New Roman"/>
          <w:color w:val="000000"/>
          <w:szCs w:val="24"/>
          <w:lang w:eastAsia="bg-BG" w:bidi="bg-BG"/>
        </w:rPr>
        <w:t xml:space="preserve">9 </w:t>
      </w:r>
      <w:r w:rsidRPr="00876122">
        <w:rPr>
          <w:rFonts w:eastAsia="Times New Roman"/>
          <w:color w:val="000000"/>
          <w:szCs w:val="24"/>
          <w:lang w:eastAsia="hr-HR" w:bidi="hr-HR"/>
        </w:rPr>
        <w:t xml:space="preserve">of Regulation (EU) </w:t>
      </w:r>
      <w:r w:rsidRPr="00876122">
        <w:rPr>
          <w:rFonts w:eastAsia="Times New Roman"/>
          <w:color w:val="000000"/>
          <w:szCs w:val="24"/>
          <w:lang w:eastAsia="bg-BG" w:bidi="bg-BG"/>
        </w:rPr>
        <w:t xml:space="preserve">2021/693 </w:t>
      </w:r>
    </w:p>
    <w:p w14:paraId="4A4E2BC6" w14:textId="77777777" w:rsidR="00F47FDE" w:rsidRPr="00876122" w:rsidRDefault="00F47FDE" w:rsidP="00FA563B">
      <w:pPr>
        <w:widowControl w:val="0"/>
        <w:shd w:val="clear" w:color="auto" w:fill="FFFFFF"/>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6B45AD90"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02: </w:t>
      </w:r>
      <w:r w:rsidRPr="00876122">
        <w:rPr>
          <w:rFonts w:eastAsia="Times New Roman"/>
          <w:color w:val="000000"/>
          <w:szCs w:val="24"/>
          <w:lang w:eastAsia="hr-HR" w:bidi="hr-HR"/>
        </w:rPr>
        <w:t>Support judicial training</w:t>
      </w:r>
    </w:p>
    <w:p w14:paraId="6B206A84"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55A337DF" w14:textId="5335B92A"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color w:val="000000"/>
          <w:szCs w:val="24"/>
          <w:lang w:eastAsia="hr-HR" w:bidi="hr-HR"/>
        </w:rPr>
        <w:t xml:space="preserve">The objective of this call is to contribute to the effective and </w:t>
      </w:r>
      <w:r w:rsidR="00A84A96">
        <w:rPr>
          <w:rFonts w:eastAsia="Times New Roman"/>
          <w:color w:val="000000"/>
          <w:szCs w:val="24"/>
          <w:lang w:eastAsia="hr-HR" w:bidi="hr-HR"/>
        </w:rPr>
        <w:t>consistent</w:t>
      </w:r>
      <w:r w:rsidR="00A84A96" w:rsidRPr="00876122">
        <w:rPr>
          <w:rFonts w:eastAsia="Times New Roman"/>
          <w:color w:val="000000"/>
          <w:szCs w:val="24"/>
          <w:lang w:eastAsia="hr-HR" w:bidi="hr-HR"/>
        </w:rPr>
        <w:t xml:space="preserve"> </w:t>
      </w:r>
      <w:r w:rsidRPr="00876122">
        <w:rPr>
          <w:rFonts w:eastAsia="Times New Roman"/>
          <w:color w:val="000000"/>
          <w:szCs w:val="24"/>
          <w:lang w:eastAsia="hr-HR" w:bidi="hr-HR"/>
        </w:rPr>
        <w:t xml:space="preserve">application of EU law, including the Charter of Fundamental Rights of the EU, by helping to address the training needs of justice professionals in line with the new Judicial Training Strategy. </w:t>
      </w:r>
      <w:r w:rsidRPr="003A5A9B">
        <w:rPr>
          <w:rFonts w:eastAsia="Times New Roman"/>
          <w:color w:val="000000"/>
          <w:szCs w:val="24"/>
          <w:lang w:eastAsia="hr-HR" w:bidi="hr-HR"/>
        </w:rPr>
        <w:t>This call finances also training activities and tools for training providers to be then rolled out at national level.</w:t>
      </w:r>
    </w:p>
    <w:p w14:paraId="71A351D5" w14:textId="77777777" w:rsidR="00F47FDE" w:rsidRPr="00876122" w:rsidRDefault="00F47FDE" w:rsidP="00F47FDE">
      <w:pPr>
        <w:widowControl w:val="0"/>
        <w:shd w:val="clear" w:color="auto" w:fill="FFFFFF"/>
        <w:spacing w:before="0" w:after="26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Type of applicants targeted</w:t>
      </w:r>
    </w:p>
    <w:tbl>
      <w:tblPr>
        <w:tblStyle w:val="TableGrid"/>
        <w:tblW w:w="0" w:type="auto"/>
        <w:tblInd w:w="108" w:type="dxa"/>
        <w:tblLook w:val="04A0" w:firstRow="1" w:lastRow="0" w:firstColumn="1" w:lastColumn="0" w:noHBand="0" w:noVBand="1"/>
      </w:tblPr>
      <w:tblGrid>
        <w:gridCol w:w="9356"/>
      </w:tblGrid>
      <w:tr w:rsidR="00F47FDE" w:rsidRPr="00876122" w14:paraId="3D9D3858" w14:textId="77777777" w:rsidTr="00EC0AFD">
        <w:tc>
          <w:tcPr>
            <w:tcW w:w="9356" w:type="dxa"/>
          </w:tcPr>
          <w:p w14:paraId="218740D5" w14:textId="77777777" w:rsidR="00F47FDE" w:rsidRPr="00876122" w:rsidRDefault="00F47FDE" w:rsidP="00F47FDE">
            <w:pPr>
              <w:shd w:val="clear" w:color="auto" w:fill="FFFFFF"/>
              <w:spacing w:before="0"/>
              <w:jc w:val="left"/>
              <w:rPr>
                <w:color w:val="000000"/>
              </w:rPr>
            </w:pPr>
            <w:r w:rsidRPr="00876122">
              <w:rPr>
                <w:b/>
                <w:bCs/>
                <w:color w:val="000000"/>
              </w:rPr>
              <w:t>Legal entities such as:</w:t>
            </w:r>
          </w:p>
          <w:p w14:paraId="5CCEE6F2" w14:textId="4690E269" w:rsidR="00F47FDE" w:rsidRPr="00876122" w:rsidRDefault="00F47FDE" w:rsidP="00EC2721">
            <w:pPr>
              <w:numPr>
                <w:ilvl w:val="0"/>
                <w:numId w:val="4"/>
              </w:numPr>
              <w:shd w:val="clear" w:color="auto" w:fill="FFFFFF"/>
              <w:tabs>
                <w:tab w:val="left" w:pos="355"/>
              </w:tabs>
              <w:spacing w:before="0" w:after="0"/>
              <w:jc w:val="left"/>
              <w:rPr>
                <w:color w:val="000000"/>
              </w:rPr>
            </w:pPr>
            <w:r w:rsidRPr="00876122">
              <w:rPr>
                <w:color w:val="000000"/>
              </w:rPr>
              <w:t xml:space="preserve">Public </w:t>
            </w:r>
            <w:proofErr w:type="gramStart"/>
            <w:r w:rsidRPr="00876122">
              <w:rPr>
                <w:color w:val="000000"/>
              </w:rPr>
              <w:t>bodies</w:t>
            </w:r>
            <w:r w:rsidR="00F63054">
              <w:rPr>
                <w:color w:val="000000"/>
              </w:rPr>
              <w:t>;</w:t>
            </w:r>
            <w:proofErr w:type="gramEnd"/>
          </w:p>
          <w:p w14:paraId="087EBB44" w14:textId="4F0D63E9" w:rsidR="00F47FDE" w:rsidRPr="00876122" w:rsidRDefault="00F47FDE" w:rsidP="00EC2721">
            <w:pPr>
              <w:numPr>
                <w:ilvl w:val="0"/>
                <w:numId w:val="4"/>
              </w:numPr>
              <w:shd w:val="clear" w:color="auto" w:fill="FFFFFF"/>
              <w:tabs>
                <w:tab w:val="left" w:pos="356"/>
              </w:tabs>
              <w:spacing w:before="0" w:after="0"/>
              <w:jc w:val="left"/>
              <w:rPr>
                <w:color w:val="000000"/>
              </w:rPr>
            </w:pPr>
            <w:r w:rsidRPr="00876122">
              <w:rPr>
                <w:color w:val="000000"/>
              </w:rPr>
              <w:t xml:space="preserve">Non-profit private </w:t>
            </w:r>
            <w:proofErr w:type="gramStart"/>
            <w:r w:rsidRPr="00876122">
              <w:rPr>
                <w:color w:val="000000"/>
              </w:rPr>
              <w:t>organisations</w:t>
            </w:r>
            <w:r w:rsidR="00F63054">
              <w:rPr>
                <w:color w:val="000000"/>
              </w:rPr>
              <w:t>;</w:t>
            </w:r>
            <w:proofErr w:type="gramEnd"/>
          </w:p>
          <w:p w14:paraId="00E2E205" w14:textId="23EF18AB" w:rsidR="00F47FDE" w:rsidRPr="00876122" w:rsidRDefault="00F47FDE" w:rsidP="00EC2721">
            <w:pPr>
              <w:numPr>
                <w:ilvl w:val="0"/>
                <w:numId w:val="4"/>
              </w:numPr>
              <w:shd w:val="clear" w:color="auto" w:fill="FFFFFF"/>
              <w:tabs>
                <w:tab w:val="left" w:pos="424"/>
              </w:tabs>
              <w:spacing w:before="0" w:after="0"/>
              <w:jc w:val="left"/>
              <w:rPr>
                <w:color w:val="000000"/>
              </w:rPr>
            </w:pPr>
            <w:r w:rsidRPr="00876122">
              <w:rPr>
                <w:color w:val="000000"/>
              </w:rPr>
              <w:t xml:space="preserve">International </w:t>
            </w:r>
            <w:proofErr w:type="gramStart"/>
            <w:r w:rsidRPr="00876122">
              <w:rPr>
                <w:color w:val="000000"/>
              </w:rPr>
              <w:t>organisations</w:t>
            </w:r>
            <w:r w:rsidR="00F63054">
              <w:rPr>
                <w:color w:val="000000"/>
              </w:rPr>
              <w:t>;</w:t>
            </w:r>
            <w:proofErr w:type="gramEnd"/>
          </w:p>
          <w:p w14:paraId="1B0583C7" w14:textId="25D0603B" w:rsidR="00F47FDE" w:rsidRPr="00876122" w:rsidRDefault="00F47FDE" w:rsidP="00FA563B">
            <w:pPr>
              <w:numPr>
                <w:ilvl w:val="0"/>
                <w:numId w:val="4"/>
              </w:numPr>
              <w:shd w:val="clear" w:color="auto" w:fill="FFFFFF"/>
              <w:tabs>
                <w:tab w:val="left" w:pos="404"/>
              </w:tabs>
              <w:spacing w:before="0" w:after="0"/>
              <w:jc w:val="left"/>
              <w:rPr>
                <w:color w:val="000000"/>
              </w:rPr>
            </w:pPr>
            <w:r w:rsidRPr="00876122">
              <w:rPr>
                <w:color w:val="000000"/>
              </w:rPr>
              <w:t>Profit</w:t>
            </w:r>
            <w:r w:rsidR="00001341">
              <w:rPr>
                <w:color w:val="000000"/>
              </w:rPr>
              <w:t>-</w:t>
            </w:r>
            <w:r w:rsidRPr="00876122">
              <w:rPr>
                <w:color w:val="000000"/>
              </w:rPr>
              <w:t>making private entities.</w:t>
            </w:r>
          </w:p>
        </w:tc>
      </w:tr>
    </w:tbl>
    <w:p w14:paraId="53875F26" w14:textId="77777777" w:rsidR="00F47FDE" w:rsidRPr="00876122" w:rsidRDefault="00F47FDE" w:rsidP="00FA563B">
      <w:pPr>
        <w:widowControl w:val="0"/>
        <w:shd w:val="clear" w:color="auto" w:fill="FFFFFF"/>
        <w:spacing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Policy priorities</w:t>
      </w:r>
    </w:p>
    <w:p w14:paraId="0B5A086E" w14:textId="6683EF2D"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color w:val="000000"/>
          <w:szCs w:val="24"/>
          <w:lang w:eastAsia="hr-HR" w:bidi="hr-HR"/>
        </w:rPr>
        <w:t xml:space="preserve">Training funded under this call in 2026 and 2027 should contribute to the effective and </w:t>
      </w:r>
      <w:r w:rsidR="00A84A96" w:rsidRPr="00876122">
        <w:rPr>
          <w:rFonts w:eastAsia="Times New Roman"/>
          <w:color w:val="000000"/>
          <w:szCs w:val="24"/>
          <w:lang w:eastAsia="hr-HR" w:bidi="hr-HR"/>
        </w:rPr>
        <w:t>c</w:t>
      </w:r>
      <w:r w:rsidR="00A84A96">
        <w:rPr>
          <w:rFonts w:eastAsia="Times New Roman"/>
          <w:color w:val="000000"/>
          <w:szCs w:val="24"/>
          <w:lang w:eastAsia="hr-HR" w:bidi="hr-HR"/>
        </w:rPr>
        <w:t>onsistent</w:t>
      </w:r>
      <w:r w:rsidR="00A84A96" w:rsidRPr="00876122">
        <w:rPr>
          <w:rFonts w:eastAsia="Times New Roman"/>
          <w:color w:val="000000"/>
          <w:szCs w:val="24"/>
          <w:lang w:eastAsia="hr-HR" w:bidi="hr-HR"/>
        </w:rPr>
        <w:t xml:space="preserve"> </w:t>
      </w:r>
      <w:r w:rsidRPr="00876122">
        <w:rPr>
          <w:rFonts w:eastAsia="Times New Roman"/>
          <w:color w:val="000000"/>
          <w:szCs w:val="24"/>
          <w:lang w:eastAsia="hr-HR" w:bidi="hr-HR"/>
        </w:rPr>
        <w:t>application of EU law in the areas of civil law, commercial law, criminal law and fundamental rights, including non-discrimination, equality and the rule of law. This call supports also training which help</w:t>
      </w:r>
      <w:r w:rsidR="00A14054">
        <w:rPr>
          <w:rFonts w:eastAsia="Times New Roman"/>
          <w:color w:val="000000"/>
          <w:szCs w:val="24"/>
          <w:lang w:eastAsia="hr-HR" w:bidi="hr-HR"/>
        </w:rPr>
        <w:t>s</w:t>
      </w:r>
      <w:r w:rsidRPr="00876122">
        <w:rPr>
          <w:rFonts w:eastAsia="Times New Roman"/>
          <w:color w:val="000000"/>
          <w:szCs w:val="24"/>
          <w:lang w:eastAsia="hr-HR" w:bidi="hr-HR"/>
        </w:rPr>
        <w:t xml:space="preserve"> build the digital capacity of justice professionals and promotes the digital transition of judicial training methodologies.</w:t>
      </w:r>
    </w:p>
    <w:p w14:paraId="18020C5A" w14:textId="77777777" w:rsidR="00F47FDE" w:rsidRPr="00876122" w:rsidRDefault="00F47FDE" w:rsidP="00FA563B">
      <w:pPr>
        <w:widowControl w:val="0"/>
        <w:shd w:val="clear" w:color="auto" w:fill="FFFFFF"/>
        <w:spacing w:before="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tbl>
      <w:tblPr>
        <w:tblStyle w:val="TableGrid"/>
        <w:tblW w:w="0" w:type="auto"/>
        <w:tblLook w:val="04A0" w:firstRow="1" w:lastRow="0" w:firstColumn="1" w:lastColumn="0" w:noHBand="0" w:noVBand="1"/>
      </w:tblPr>
      <w:tblGrid>
        <w:gridCol w:w="9274"/>
      </w:tblGrid>
      <w:tr w:rsidR="00F47FDE" w:rsidRPr="00876122" w14:paraId="6B5D27C8" w14:textId="77777777">
        <w:trPr>
          <w:trHeight w:val="2825"/>
        </w:trPr>
        <w:tc>
          <w:tcPr>
            <w:tcW w:w="9274" w:type="dxa"/>
          </w:tcPr>
          <w:p w14:paraId="26A16BFF" w14:textId="77777777" w:rsidR="00F47FDE" w:rsidRPr="00876122" w:rsidRDefault="00F47FDE" w:rsidP="00EC0AFD">
            <w:pPr>
              <w:numPr>
                <w:ilvl w:val="0"/>
                <w:numId w:val="11"/>
              </w:numPr>
              <w:shd w:val="clear" w:color="auto" w:fill="FFFFFF"/>
              <w:tabs>
                <w:tab w:val="left" w:pos="865"/>
              </w:tabs>
              <w:spacing w:before="0" w:after="0"/>
              <w:rPr>
                <w:color w:val="000000"/>
              </w:rPr>
            </w:pPr>
            <w:r w:rsidRPr="00876122">
              <w:rPr>
                <w:color w:val="000000"/>
              </w:rPr>
              <w:lastRenderedPageBreak/>
              <w:t xml:space="preserve">Enhanced knowledge of EU civil law, commercial law, criminal law and fundamental rights related instruments (including on the scope of application of the EU Charter of Fundamental Rights and on existing remedies and redress) among justice </w:t>
            </w:r>
            <w:proofErr w:type="gramStart"/>
            <w:r w:rsidRPr="00876122">
              <w:rPr>
                <w:color w:val="000000"/>
              </w:rPr>
              <w:t>professionals;</w:t>
            </w:r>
            <w:proofErr w:type="gramEnd"/>
          </w:p>
          <w:p w14:paraId="19B8D2C8" w14:textId="1CAA3378" w:rsidR="00F47FDE" w:rsidRPr="00876122" w:rsidRDefault="00F47FDE" w:rsidP="00EC0AFD">
            <w:pPr>
              <w:numPr>
                <w:ilvl w:val="0"/>
                <w:numId w:val="11"/>
              </w:numPr>
              <w:shd w:val="clear" w:color="auto" w:fill="FFFFFF"/>
              <w:tabs>
                <w:tab w:val="left" w:pos="865"/>
              </w:tabs>
              <w:spacing w:before="0" w:after="0"/>
              <w:rPr>
                <w:color w:val="000000"/>
              </w:rPr>
            </w:pPr>
            <w:r w:rsidRPr="00876122">
              <w:rPr>
                <w:color w:val="000000"/>
              </w:rPr>
              <w:t xml:space="preserve">Increased </w:t>
            </w:r>
            <w:r w:rsidR="001F246F">
              <w:rPr>
                <w:color w:val="000000"/>
              </w:rPr>
              <w:t>d</w:t>
            </w:r>
            <w:r w:rsidRPr="00876122">
              <w:rPr>
                <w:color w:val="000000"/>
              </w:rPr>
              <w:t xml:space="preserve">igital capacity of justice </w:t>
            </w:r>
            <w:proofErr w:type="gramStart"/>
            <w:r w:rsidRPr="00876122">
              <w:rPr>
                <w:color w:val="000000"/>
              </w:rPr>
              <w:t>professionals;</w:t>
            </w:r>
            <w:proofErr w:type="gramEnd"/>
          </w:p>
          <w:p w14:paraId="627AFE86" w14:textId="77777777" w:rsidR="00F47FDE" w:rsidRPr="00876122" w:rsidRDefault="00F47FDE" w:rsidP="00EC0AFD">
            <w:pPr>
              <w:numPr>
                <w:ilvl w:val="0"/>
                <w:numId w:val="11"/>
              </w:numPr>
              <w:shd w:val="clear" w:color="auto" w:fill="FFFFFF"/>
              <w:tabs>
                <w:tab w:val="left" w:pos="865"/>
              </w:tabs>
              <w:spacing w:before="0" w:after="0"/>
              <w:rPr>
                <w:color w:val="000000"/>
              </w:rPr>
            </w:pPr>
            <w:r w:rsidRPr="00876122">
              <w:rPr>
                <w:color w:val="000000"/>
              </w:rPr>
              <w:t xml:space="preserve">Improved digital transition of judicial training </w:t>
            </w:r>
            <w:proofErr w:type="gramStart"/>
            <w:r w:rsidRPr="00876122">
              <w:rPr>
                <w:color w:val="000000"/>
              </w:rPr>
              <w:t>methodologies;</w:t>
            </w:r>
            <w:proofErr w:type="gramEnd"/>
          </w:p>
          <w:p w14:paraId="2383398A" w14:textId="77777777" w:rsidR="00F47FDE" w:rsidRPr="00876122" w:rsidRDefault="00F47FDE" w:rsidP="00EC0AFD">
            <w:pPr>
              <w:numPr>
                <w:ilvl w:val="0"/>
                <w:numId w:val="11"/>
              </w:numPr>
              <w:shd w:val="clear" w:color="auto" w:fill="FFFFFF"/>
              <w:tabs>
                <w:tab w:val="left" w:pos="865"/>
              </w:tabs>
              <w:spacing w:before="0" w:after="0"/>
              <w:rPr>
                <w:color w:val="000000"/>
              </w:rPr>
            </w:pPr>
            <w:r w:rsidRPr="00876122">
              <w:rPr>
                <w:color w:val="000000"/>
              </w:rPr>
              <w:t xml:space="preserve">Improved mutual trust between justice professionals in cross-border judicial </w:t>
            </w:r>
            <w:proofErr w:type="gramStart"/>
            <w:r w:rsidRPr="00876122">
              <w:rPr>
                <w:color w:val="000000"/>
              </w:rPr>
              <w:t>cooperation;</w:t>
            </w:r>
            <w:proofErr w:type="gramEnd"/>
          </w:p>
          <w:p w14:paraId="7C433B52" w14:textId="6AE70FCB" w:rsidR="00F47FDE" w:rsidRPr="00775301" w:rsidRDefault="00F47FDE" w:rsidP="00EC0AFD">
            <w:pPr>
              <w:numPr>
                <w:ilvl w:val="0"/>
                <w:numId w:val="11"/>
              </w:numPr>
              <w:shd w:val="clear" w:color="auto" w:fill="FFFFFF"/>
              <w:tabs>
                <w:tab w:val="left" w:pos="865"/>
              </w:tabs>
              <w:spacing w:before="0" w:after="0"/>
              <w:rPr>
                <w:color w:val="000000"/>
              </w:rPr>
            </w:pPr>
            <w:r w:rsidRPr="00775301">
              <w:rPr>
                <w:color w:val="000000"/>
              </w:rPr>
              <w:t xml:space="preserve">Improved cooperation of training providers of different justice </w:t>
            </w:r>
            <w:proofErr w:type="gramStart"/>
            <w:r w:rsidRPr="00775301">
              <w:rPr>
                <w:color w:val="000000"/>
              </w:rPr>
              <w:t>professions;</w:t>
            </w:r>
            <w:proofErr w:type="gramEnd"/>
          </w:p>
          <w:p w14:paraId="3A47B0FA" w14:textId="77777777" w:rsidR="00F47FDE" w:rsidRPr="00876122" w:rsidRDefault="00F47FDE" w:rsidP="00EC0AFD">
            <w:pPr>
              <w:numPr>
                <w:ilvl w:val="0"/>
                <w:numId w:val="11"/>
              </w:numPr>
              <w:shd w:val="clear" w:color="auto" w:fill="FFFFFF"/>
              <w:tabs>
                <w:tab w:val="left" w:pos="865"/>
              </w:tabs>
              <w:spacing w:before="0" w:after="0"/>
              <w:rPr>
                <w:color w:val="000000"/>
              </w:rPr>
            </w:pPr>
            <w:r w:rsidRPr="00876122">
              <w:rPr>
                <w:color w:val="000000"/>
              </w:rPr>
              <w:t>Increased legal certainty for citizens and businesses.</w:t>
            </w:r>
          </w:p>
        </w:tc>
      </w:tr>
    </w:tbl>
    <w:p w14:paraId="028EC305" w14:textId="77777777" w:rsidR="00F47FDE" w:rsidRPr="00876122" w:rsidRDefault="00F47FDE" w:rsidP="00FA563B">
      <w:pPr>
        <w:widowControl w:val="0"/>
        <w:shd w:val="clear" w:color="auto" w:fill="FFFFFF"/>
        <w:spacing w:after="260" w:line="288" w:lineRule="auto"/>
        <w:jc w:val="left"/>
        <w:rPr>
          <w:rFonts w:eastAsia="Times New Roman"/>
          <w:b/>
          <w:bCs/>
          <w:smallCaps/>
          <w:color w:val="000000"/>
          <w:sz w:val="20"/>
          <w:szCs w:val="20"/>
          <w:lang w:eastAsia="hr-HR" w:bidi="hr-HR"/>
        </w:rPr>
      </w:pPr>
      <w:bookmarkStart w:id="28" w:name="_Hlk191557618"/>
      <w:bookmarkStart w:id="29" w:name="_Hlk191557555"/>
      <w:r w:rsidRPr="00876122">
        <w:rPr>
          <w:rFonts w:eastAsia="Times New Roman"/>
          <w:b/>
          <w:bCs/>
          <w:smallCaps/>
          <w:color w:val="000000"/>
          <w:sz w:val="20"/>
          <w:szCs w:val="20"/>
          <w:lang w:eastAsia="hr-HR" w:bidi="hr-HR"/>
        </w:rPr>
        <w:t>Implementation</w:t>
      </w:r>
    </w:p>
    <w:p w14:paraId="39DC4366"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540"/>
        <w:jc w:val="left"/>
        <w:rPr>
          <w:rFonts w:eastAsia="Times New Roman"/>
          <w:color w:val="000000"/>
          <w:szCs w:val="24"/>
          <w:lang w:eastAsia="hr-HR" w:bidi="hr-HR"/>
        </w:rPr>
      </w:pPr>
      <w:r w:rsidRPr="00876122">
        <w:rPr>
          <w:rFonts w:eastAsia="Times New Roman"/>
          <w:color w:val="000000"/>
          <w:szCs w:val="24"/>
          <w:lang w:eastAsia="hr-HR" w:bidi="hr-HR"/>
        </w:rPr>
        <w:t xml:space="preserve">Direct </w:t>
      </w:r>
      <w:bookmarkEnd w:id="28"/>
      <w:r w:rsidRPr="00876122">
        <w:rPr>
          <w:rFonts w:eastAsia="Times New Roman"/>
          <w:color w:val="000000"/>
          <w:szCs w:val="24"/>
          <w:lang w:eastAsia="hr-HR" w:bidi="hr-HR"/>
        </w:rPr>
        <w:t>m</w:t>
      </w:r>
      <w:bookmarkEnd w:id="29"/>
      <w:r w:rsidRPr="00876122">
        <w:rPr>
          <w:rFonts w:eastAsia="Times New Roman"/>
          <w:color w:val="000000"/>
          <w:szCs w:val="24"/>
          <w:lang w:eastAsia="hr-HR" w:bidi="hr-HR"/>
        </w:rPr>
        <w:t>anagement by DG JUST</w:t>
      </w:r>
    </w:p>
    <w:p w14:paraId="52127CD1" w14:textId="15692173" w:rsidR="00F47FDE" w:rsidRPr="00FB4CF1" w:rsidRDefault="00F47FDE" w:rsidP="00FA563B">
      <w:pPr>
        <w:pStyle w:val="Heading2"/>
        <w:rPr>
          <w:rFonts w:eastAsia="Times New Roman"/>
          <w:szCs w:val="24"/>
          <w:lang w:eastAsia="hr-HR" w:bidi="hr-HR"/>
        </w:rPr>
      </w:pPr>
      <w:bookmarkStart w:id="30" w:name="bookmark76"/>
      <w:bookmarkStart w:id="31" w:name="bookmark75"/>
      <w:bookmarkStart w:id="32" w:name="_Toc205461085"/>
      <w:r w:rsidRPr="00FB4CF1">
        <w:rPr>
          <w:rFonts w:eastAsia="Times New Roman"/>
          <w:szCs w:val="24"/>
          <w:lang w:eastAsia="hr-HR" w:bidi="hr-HR"/>
        </w:rPr>
        <w:t xml:space="preserve">Operating grant to beneficiary identified in </w:t>
      </w:r>
      <w:r w:rsidR="00F36872">
        <w:rPr>
          <w:rFonts w:eastAsia="Times New Roman"/>
          <w:szCs w:val="24"/>
          <w:lang w:eastAsia="hr-HR" w:bidi="hr-HR"/>
        </w:rPr>
        <w:t xml:space="preserve">the basic act </w:t>
      </w:r>
      <w:r w:rsidR="00FB4CF1">
        <w:rPr>
          <w:rFonts w:eastAsia="Times New Roman"/>
          <w:szCs w:val="24"/>
          <w:lang w:eastAsia="bg-BG" w:bidi="bg-BG"/>
        </w:rPr>
        <w:t>(</w:t>
      </w:r>
      <w:r w:rsidRPr="00FB4CF1">
        <w:rPr>
          <w:rFonts w:eastAsia="Times New Roman"/>
          <w:szCs w:val="24"/>
          <w:lang w:eastAsia="hr-HR" w:bidi="hr-HR"/>
        </w:rPr>
        <w:t>EJTN</w:t>
      </w:r>
      <w:bookmarkEnd w:id="30"/>
      <w:bookmarkEnd w:id="31"/>
      <w:r w:rsidR="00FB4CF1">
        <w:rPr>
          <w:rFonts w:eastAsia="Times New Roman"/>
          <w:szCs w:val="24"/>
          <w:lang w:eastAsia="hr-HR" w:bidi="hr-HR"/>
        </w:rPr>
        <w:t>)</w:t>
      </w:r>
      <w:bookmarkEnd w:id="32"/>
    </w:p>
    <w:p w14:paraId="2A4B49D3" w14:textId="77777777" w:rsidR="00F47FDE" w:rsidRPr="00876122" w:rsidRDefault="00F47FDE" w:rsidP="00F47FDE">
      <w:pPr>
        <w:widowControl w:val="0"/>
        <w:shd w:val="clear" w:color="auto" w:fill="FFFFFF"/>
        <w:spacing w:before="0" w:after="24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p w14:paraId="255BECB6" w14:textId="426C63E1"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Art</w:t>
      </w:r>
      <w:r w:rsidR="00315595">
        <w:rPr>
          <w:rFonts w:eastAsia="Times New Roman"/>
          <w:color w:val="000000"/>
          <w:szCs w:val="24"/>
          <w:lang w:eastAsia="hr-HR" w:bidi="hr-HR"/>
        </w:rPr>
        <w:t>icle</w:t>
      </w:r>
      <w:r w:rsidR="004F7CFD">
        <w:rPr>
          <w:rFonts w:eastAsia="Times New Roman"/>
          <w:color w:val="000000"/>
          <w:szCs w:val="24"/>
          <w:lang w:eastAsia="hr-HR" w:bidi="hr-HR"/>
        </w:rPr>
        <w:t>s</w:t>
      </w:r>
      <w:r w:rsidR="00315595">
        <w:rPr>
          <w:rFonts w:eastAsia="Times New Roman"/>
          <w:color w:val="000000"/>
          <w:szCs w:val="24"/>
          <w:lang w:eastAsia="hr-HR" w:bidi="hr-HR"/>
        </w:rPr>
        <w:t xml:space="preserve"> </w:t>
      </w:r>
      <w:r w:rsidRPr="00876122">
        <w:rPr>
          <w:rFonts w:eastAsia="Times New Roman"/>
          <w:color w:val="000000"/>
          <w:szCs w:val="24"/>
          <w:lang w:eastAsia="hr-HR" w:bidi="hr-HR"/>
        </w:rPr>
        <w:t xml:space="preserve">3(2)(b) and </w:t>
      </w:r>
      <w:r w:rsidRPr="00876122">
        <w:rPr>
          <w:rFonts w:eastAsia="Times New Roman"/>
          <w:color w:val="000000"/>
          <w:szCs w:val="24"/>
          <w:lang w:eastAsia="bg-BG" w:bidi="bg-BG"/>
        </w:rPr>
        <w:t xml:space="preserve">11(3) </w:t>
      </w:r>
      <w:r w:rsidRPr="00876122">
        <w:rPr>
          <w:rFonts w:eastAsia="Times New Roman"/>
          <w:color w:val="000000"/>
          <w:szCs w:val="24"/>
          <w:lang w:eastAsia="hr-HR" w:bidi="hr-HR"/>
        </w:rPr>
        <w:t xml:space="preserve">of Regulation (EU) </w:t>
      </w:r>
      <w:r w:rsidRPr="00876122">
        <w:rPr>
          <w:rFonts w:eastAsia="Times New Roman"/>
          <w:color w:val="000000"/>
          <w:szCs w:val="24"/>
          <w:lang w:eastAsia="bg-BG" w:bidi="bg-BG"/>
        </w:rPr>
        <w:t xml:space="preserve">2021/693 </w:t>
      </w:r>
    </w:p>
    <w:p w14:paraId="5294B96A" w14:textId="00A121C8"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jc w:val="left"/>
        <w:rPr>
          <w:rFonts w:eastAsia="Times New Roman"/>
          <w:color w:val="000000"/>
          <w:szCs w:val="24"/>
          <w:lang w:eastAsia="hr-HR" w:bidi="hr-HR"/>
        </w:rPr>
      </w:pPr>
      <w:r w:rsidRPr="00876122">
        <w:rPr>
          <w:rFonts w:eastAsia="Times New Roman"/>
          <w:color w:val="000000"/>
          <w:szCs w:val="24"/>
          <w:lang w:eastAsia="hr-HR" w:bidi="hr-HR"/>
        </w:rPr>
        <w:t>Article</w:t>
      </w:r>
      <w:r w:rsidR="00876122">
        <w:rPr>
          <w:rFonts w:eastAsia="Times New Roman"/>
          <w:color w:val="000000"/>
          <w:szCs w:val="24"/>
          <w:lang w:eastAsia="hr-HR" w:bidi="hr-HR"/>
        </w:rPr>
        <w:t> </w:t>
      </w:r>
      <w:r w:rsidRPr="00876122">
        <w:rPr>
          <w:rFonts w:eastAsia="Times New Roman"/>
          <w:color w:val="000000"/>
          <w:szCs w:val="24"/>
          <w:lang w:eastAsia="hr-HR" w:bidi="hr-HR"/>
        </w:rPr>
        <w:t>198(1)(d) of the Financial Regulation</w:t>
      </w:r>
    </w:p>
    <w:p w14:paraId="2E99F34C"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631771A4"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02: </w:t>
      </w:r>
      <w:r w:rsidRPr="00876122">
        <w:rPr>
          <w:rFonts w:eastAsia="Times New Roman"/>
          <w:color w:val="000000"/>
          <w:szCs w:val="24"/>
          <w:lang w:eastAsia="hr-HR" w:bidi="hr-HR"/>
        </w:rPr>
        <w:t>Support judicial training</w:t>
      </w:r>
    </w:p>
    <w:p w14:paraId="156F81EA"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71D79F9C" w14:textId="5E9CC4FC"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Pursuant to Article</w:t>
      </w:r>
      <w:r w:rsidR="00876122">
        <w:rPr>
          <w:rFonts w:eastAsia="Times New Roman"/>
          <w:color w:val="000000"/>
          <w:szCs w:val="24"/>
          <w:lang w:eastAsia="hr-HR" w:bidi="hr-HR"/>
        </w:rPr>
        <w:t> </w:t>
      </w:r>
      <w:r w:rsidRPr="00876122">
        <w:rPr>
          <w:rFonts w:eastAsia="Times New Roman"/>
          <w:color w:val="000000"/>
          <w:szCs w:val="24"/>
          <w:lang w:eastAsia="bg-BG" w:bidi="bg-BG"/>
        </w:rPr>
        <w:t xml:space="preserve">11(3) </w:t>
      </w:r>
      <w:r w:rsidRPr="00876122">
        <w:rPr>
          <w:rFonts w:eastAsia="Times New Roman"/>
          <w:color w:val="000000"/>
          <w:szCs w:val="24"/>
          <w:lang w:eastAsia="hr-HR" w:bidi="hr-HR"/>
        </w:rPr>
        <w:t xml:space="preserve">of Regulation (EU) </w:t>
      </w:r>
      <w:r w:rsidRPr="00876122">
        <w:rPr>
          <w:rFonts w:eastAsia="Times New Roman"/>
          <w:color w:val="000000"/>
          <w:szCs w:val="24"/>
          <w:lang w:eastAsia="bg-BG" w:bidi="bg-BG"/>
        </w:rPr>
        <w:t xml:space="preserve">2021/693 </w:t>
      </w:r>
      <w:r w:rsidRPr="00876122">
        <w:rPr>
          <w:rFonts w:eastAsia="Times New Roman"/>
          <w:color w:val="000000"/>
          <w:szCs w:val="24"/>
          <w:lang w:eastAsia="hr-HR" w:bidi="hr-HR"/>
        </w:rPr>
        <w:t xml:space="preserve">of the European Parliament and of the Council of </w:t>
      </w:r>
      <w:r w:rsidRPr="00876122">
        <w:rPr>
          <w:rFonts w:eastAsia="Times New Roman"/>
          <w:color w:val="000000"/>
          <w:szCs w:val="24"/>
          <w:lang w:eastAsia="bg-BG" w:bidi="bg-BG"/>
        </w:rPr>
        <w:t>28</w:t>
      </w:r>
      <w:r w:rsidR="00876122">
        <w:rPr>
          <w:rFonts w:eastAsia="Times New Roman"/>
          <w:color w:val="000000"/>
          <w:szCs w:val="24"/>
          <w:lang w:eastAsia="bg-BG" w:bidi="bg-BG"/>
        </w:rPr>
        <w:t> </w:t>
      </w:r>
      <w:r w:rsidRPr="00876122">
        <w:rPr>
          <w:rFonts w:eastAsia="Times New Roman"/>
          <w:color w:val="000000"/>
          <w:szCs w:val="24"/>
          <w:lang w:eastAsia="hr-HR" w:bidi="hr-HR"/>
        </w:rPr>
        <w:t xml:space="preserve">April </w:t>
      </w:r>
      <w:r w:rsidRPr="00876122">
        <w:rPr>
          <w:rFonts w:eastAsia="Times New Roman"/>
          <w:color w:val="000000"/>
          <w:szCs w:val="24"/>
          <w:lang w:eastAsia="bg-BG" w:bidi="bg-BG"/>
        </w:rPr>
        <w:t xml:space="preserve">2021 </w:t>
      </w:r>
      <w:r w:rsidRPr="00876122">
        <w:rPr>
          <w:rFonts w:eastAsia="Times New Roman"/>
          <w:color w:val="000000"/>
          <w:szCs w:val="24"/>
          <w:lang w:eastAsia="hr-HR" w:bidi="hr-HR"/>
        </w:rPr>
        <w:t xml:space="preserve">establishing the Justice </w:t>
      </w:r>
      <w:r w:rsidR="000C632E">
        <w:rPr>
          <w:rFonts w:eastAsia="Times New Roman"/>
          <w:color w:val="000000"/>
          <w:szCs w:val="24"/>
          <w:lang w:eastAsia="hr-HR" w:bidi="hr-HR"/>
        </w:rPr>
        <w:t>p</w:t>
      </w:r>
      <w:r w:rsidRPr="00876122">
        <w:rPr>
          <w:rFonts w:eastAsia="Times New Roman"/>
          <w:color w:val="000000"/>
          <w:szCs w:val="24"/>
          <w:lang w:eastAsia="hr-HR" w:bidi="hr-HR"/>
        </w:rPr>
        <w:t>rogramme and repealing Regulation (EU) No</w:t>
      </w:r>
      <w:r w:rsidR="00876122">
        <w:rPr>
          <w:rFonts w:eastAsia="Times New Roman"/>
          <w:color w:val="000000"/>
          <w:szCs w:val="24"/>
          <w:lang w:eastAsia="hr-HR" w:bidi="hr-HR"/>
        </w:rPr>
        <w:t> </w:t>
      </w:r>
      <w:r w:rsidRPr="00876122">
        <w:rPr>
          <w:rFonts w:eastAsia="Times New Roman"/>
          <w:color w:val="000000"/>
          <w:szCs w:val="24"/>
          <w:lang w:eastAsia="bg-BG" w:bidi="bg-BG"/>
        </w:rPr>
        <w:t xml:space="preserve">1382/2013, </w:t>
      </w:r>
      <w:r w:rsidRPr="00876122">
        <w:rPr>
          <w:rFonts w:eastAsia="Times New Roman"/>
          <w:color w:val="000000"/>
          <w:szCs w:val="24"/>
          <w:lang w:eastAsia="hr-HR" w:bidi="hr-HR"/>
        </w:rPr>
        <w:t>the European Judicial Training Network (EJTN) shall receive an operating grant to co-finance expenditure associated with its permanent work programme.</w:t>
      </w:r>
    </w:p>
    <w:p w14:paraId="3E5F2176" w14:textId="550E146B" w:rsidR="00F36872" w:rsidRPr="00EC0AFD" w:rsidRDefault="00F47FDE" w:rsidP="00EC0AFD">
      <w:pPr>
        <w:widowControl w:val="0"/>
        <w:pBdr>
          <w:top w:val="single" w:sz="4" w:space="0" w:color="auto"/>
          <w:left w:val="single" w:sz="4" w:space="0" w:color="auto"/>
          <w:bottom w:val="single" w:sz="4" w:space="0" w:color="auto"/>
          <w:right w:val="single" w:sz="4" w:space="0" w:color="auto"/>
        </w:pBdr>
        <w:shd w:val="clear" w:color="auto" w:fill="FFFFFF"/>
        <w:spacing w:before="0" w:after="280"/>
        <w:rPr>
          <w:rFonts w:eastAsia="Times New Roman"/>
          <w:color w:val="000000"/>
          <w:szCs w:val="24"/>
          <w:lang w:eastAsia="hr-HR" w:bidi="hr-HR"/>
        </w:rPr>
      </w:pPr>
      <w:r w:rsidRPr="00876122">
        <w:rPr>
          <w:rFonts w:eastAsia="Times New Roman"/>
          <w:color w:val="000000"/>
          <w:szCs w:val="24"/>
          <w:lang w:eastAsia="hr-HR" w:bidi="hr-HR"/>
        </w:rPr>
        <w:t>The work programme of EJTN should support and promote training of judges, prosecutors, court staff and prosecution offices’ staff, with a view to fostering a common legal, judicial and rule</w:t>
      </w:r>
      <w:r w:rsidR="00DD0EEB">
        <w:rPr>
          <w:rFonts w:eastAsia="Times New Roman"/>
          <w:color w:val="000000"/>
          <w:szCs w:val="24"/>
          <w:lang w:eastAsia="hr-HR" w:bidi="hr-HR"/>
        </w:rPr>
        <w:t>-</w:t>
      </w:r>
      <w:r w:rsidRPr="00876122">
        <w:rPr>
          <w:rFonts w:eastAsia="Times New Roman"/>
          <w:color w:val="000000"/>
          <w:szCs w:val="24"/>
          <w:lang w:eastAsia="hr-HR" w:bidi="hr-HR"/>
        </w:rPr>
        <w:t>of</w:t>
      </w:r>
      <w:r w:rsidR="00DD0EEB">
        <w:rPr>
          <w:rFonts w:eastAsia="Times New Roman"/>
          <w:color w:val="000000"/>
          <w:szCs w:val="24"/>
          <w:lang w:eastAsia="hr-HR" w:bidi="hr-HR"/>
        </w:rPr>
        <w:t>-</w:t>
      </w:r>
      <w:r w:rsidRPr="00876122">
        <w:rPr>
          <w:rFonts w:eastAsia="Times New Roman"/>
          <w:color w:val="000000"/>
          <w:szCs w:val="24"/>
          <w:lang w:eastAsia="hr-HR" w:bidi="hr-HR"/>
        </w:rPr>
        <w:t>law culture</w:t>
      </w:r>
      <w:r w:rsidR="007937F6">
        <w:rPr>
          <w:rFonts w:eastAsia="Times New Roman"/>
          <w:color w:val="000000"/>
          <w:szCs w:val="24"/>
          <w:lang w:eastAsia="hr-HR" w:bidi="hr-HR"/>
        </w:rPr>
        <w:t xml:space="preserve"> and</w:t>
      </w:r>
      <w:r w:rsidR="009B5BC6">
        <w:rPr>
          <w:rFonts w:eastAsia="Times New Roman"/>
          <w:color w:val="000000"/>
          <w:szCs w:val="24"/>
          <w:lang w:eastAsia="hr-HR" w:bidi="hr-HR"/>
        </w:rPr>
        <w:t xml:space="preserve"> ensuring</w:t>
      </w:r>
      <w:r w:rsidRPr="00876122">
        <w:rPr>
          <w:rFonts w:eastAsia="Times New Roman"/>
          <w:color w:val="000000"/>
          <w:szCs w:val="24"/>
          <w:lang w:eastAsia="hr-HR" w:bidi="hr-HR"/>
        </w:rPr>
        <w:t xml:space="preserve"> the consistent and effective implementation of the Union’s legal instruments relevant in the context of this programme, with a strong focus on providing </w:t>
      </w:r>
      <w:r w:rsidR="00D832A9">
        <w:rPr>
          <w:rFonts w:eastAsia="Times New Roman"/>
          <w:color w:val="000000"/>
          <w:szCs w:val="24"/>
          <w:lang w:eastAsia="hr-HR" w:bidi="hr-HR"/>
        </w:rPr>
        <w:t>a</w:t>
      </w:r>
      <w:r w:rsidR="00D832A9" w:rsidRPr="00876122">
        <w:rPr>
          <w:rFonts w:eastAsia="Times New Roman"/>
          <w:color w:val="000000"/>
          <w:szCs w:val="24"/>
          <w:lang w:eastAsia="hr-HR" w:bidi="hr-HR"/>
        </w:rPr>
        <w:t xml:space="preserve"> </w:t>
      </w:r>
      <w:r w:rsidRPr="00876122">
        <w:rPr>
          <w:rFonts w:eastAsia="Times New Roman"/>
          <w:color w:val="000000"/>
          <w:szCs w:val="24"/>
          <w:lang w:eastAsia="hr-HR" w:bidi="hr-HR"/>
        </w:rPr>
        <w:t>supportive environment for the digitalisation of justice.</w:t>
      </w:r>
    </w:p>
    <w:p w14:paraId="0CFE8C0C" w14:textId="2DB97235" w:rsidR="00F47FDE" w:rsidRPr="00876122" w:rsidRDefault="00F47FDE" w:rsidP="00FA563B">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POLICY PRIORITIES</w:t>
      </w:r>
    </w:p>
    <w:tbl>
      <w:tblPr>
        <w:tblStyle w:val="TableGrid"/>
        <w:tblW w:w="0" w:type="auto"/>
        <w:tblLook w:val="04A0" w:firstRow="1" w:lastRow="0" w:firstColumn="1" w:lastColumn="0" w:noHBand="0" w:noVBand="1"/>
      </w:tblPr>
      <w:tblGrid>
        <w:gridCol w:w="9464"/>
      </w:tblGrid>
      <w:tr w:rsidR="00F47FDE" w:rsidRPr="00876122" w14:paraId="296C4A78" w14:textId="77777777" w:rsidTr="00EC0AFD">
        <w:tc>
          <w:tcPr>
            <w:tcW w:w="9464" w:type="dxa"/>
          </w:tcPr>
          <w:p w14:paraId="1C4F4DE7" w14:textId="7CE41747" w:rsidR="00F47FDE" w:rsidRPr="00876122" w:rsidRDefault="00F47FDE" w:rsidP="00F47FDE">
            <w:pPr>
              <w:spacing w:before="0" w:after="100" w:line="288" w:lineRule="auto"/>
              <w:rPr>
                <w:b/>
                <w:bCs/>
                <w:smallCaps/>
                <w:color w:val="000000"/>
                <w:sz w:val="20"/>
                <w:szCs w:val="20"/>
              </w:rPr>
            </w:pPr>
            <w:r w:rsidRPr="00876122">
              <w:rPr>
                <w:color w:val="000000"/>
              </w:rPr>
              <w:t>The 2027 and 2028 EJTN work programmes should continue to provide high-quality training on specific U</w:t>
            </w:r>
            <w:r w:rsidR="00DF6207">
              <w:rPr>
                <w:color w:val="000000"/>
              </w:rPr>
              <w:t>nion</w:t>
            </w:r>
            <w:r w:rsidRPr="00876122">
              <w:rPr>
                <w:color w:val="000000"/>
              </w:rPr>
              <w:t xml:space="preserve"> legal instruments, in line with the objectives of the new European Judicial training strategy. In this regard, the work programmes should also promote and coordinate activities relating to</w:t>
            </w:r>
            <w:r w:rsidR="007A3F5B">
              <w:rPr>
                <w:color w:val="000000"/>
              </w:rPr>
              <w:t xml:space="preserve"> the</w:t>
            </w:r>
            <w:r w:rsidRPr="00876122">
              <w:rPr>
                <w:color w:val="000000"/>
              </w:rPr>
              <w:t xml:space="preserve"> digitalisation of judicial cross-border cooperation and access to digital justice. </w:t>
            </w:r>
          </w:p>
        </w:tc>
      </w:tr>
    </w:tbl>
    <w:p w14:paraId="3768F111" w14:textId="77777777" w:rsidR="00F47FDE" w:rsidRPr="00876122" w:rsidRDefault="00F47FDE" w:rsidP="00FA563B">
      <w:pPr>
        <w:widowControl w:val="0"/>
        <w:shd w:val="clear" w:color="auto" w:fill="FFFFFF"/>
        <w:spacing w:after="10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tbl>
      <w:tblPr>
        <w:tblStyle w:val="TableGrid"/>
        <w:tblW w:w="0" w:type="auto"/>
        <w:tblLook w:val="04A0" w:firstRow="1" w:lastRow="0" w:firstColumn="1" w:lastColumn="0" w:noHBand="0" w:noVBand="1"/>
      </w:tblPr>
      <w:tblGrid>
        <w:gridCol w:w="9464"/>
      </w:tblGrid>
      <w:tr w:rsidR="00F47FDE" w:rsidRPr="00876122" w14:paraId="2372F54B" w14:textId="77777777" w:rsidTr="00EC0AFD">
        <w:tc>
          <w:tcPr>
            <w:tcW w:w="9464" w:type="dxa"/>
          </w:tcPr>
          <w:p w14:paraId="016C8587" w14:textId="555DE957" w:rsidR="00F47FDE" w:rsidRPr="00876122" w:rsidRDefault="00F47FDE" w:rsidP="00EC0AFD">
            <w:pPr>
              <w:numPr>
                <w:ilvl w:val="0"/>
                <w:numId w:val="15"/>
              </w:numPr>
              <w:shd w:val="clear" w:color="auto" w:fill="FFFFFF"/>
              <w:tabs>
                <w:tab w:val="left" w:pos="833"/>
              </w:tabs>
              <w:spacing w:before="0" w:after="0"/>
              <w:rPr>
                <w:rFonts w:eastAsia="Aptos"/>
                <w:kern w:val="2"/>
                <w14:ligatures w14:val="standardContextual"/>
              </w:rPr>
            </w:pPr>
            <w:r w:rsidRPr="00876122">
              <w:rPr>
                <w:color w:val="000000"/>
              </w:rPr>
              <w:t xml:space="preserve">Targeted training </w:t>
            </w:r>
            <w:r w:rsidR="00360EF8">
              <w:rPr>
                <w:color w:val="000000"/>
              </w:rPr>
              <w:t>according</w:t>
            </w:r>
            <w:r w:rsidRPr="00876122">
              <w:rPr>
                <w:color w:val="000000"/>
              </w:rPr>
              <w:t xml:space="preserve"> to justice professionals</w:t>
            </w:r>
            <w:r w:rsidR="00876122">
              <w:rPr>
                <w:color w:val="000000"/>
              </w:rPr>
              <w:t>’</w:t>
            </w:r>
            <w:r w:rsidRPr="00876122">
              <w:rPr>
                <w:color w:val="000000"/>
              </w:rPr>
              <w:t xml:space="preserve"> training </w:t>
            </w:r>
            <w:proofErr w:type="gramStart"/>
            <w:r w:rsidRPr="00876122">
              <w:rPr>
                <w:color w:val="000000"/>
              </w:rPr>
              <w:t>needs</w:t>
            </w:r>
            <w:r w:rsidR="00ED306F">
              <w:rPr>
                <w:color w:val="000000"/>
              </w:rPr>
              <w:t>;</w:t>
            </w:r>
            <w:proofErr w:type="gramEnd"/>
          </w:p>
          <w:p w14:paraId="3B4B436A" w14:textId="3319E95D" w:rsidR="00F47FDE" w:rsidRPr="00DE48C5" w:rsidRDefault="00F47FDE" w:rsidP="00EC0AFD">
            <w:pPr>
              <w:numPr>
                <w:ilvl w:val="0"/>
                <w:numId w:val="15"/>
              </w:numPr>
              <w:shd w:val="clear" w:color="auto" w:fill="FFFFFF"/>
              <w:tabs>
                <w:tab w:val="left" w:pos="833"/>
              </w:tabs>
              <w:spacing w:before="0" w:after="0"/>
              <w:rPr>
                <w:rFonts w:eastAsia="Aptos"/>
                <w:kern w:val="2"/>
                <w14:ligatures w14:val="standardContextual"/>
              </w:rPr>
            </w:pPr>
            <w:r w:rsidRPr="00DE48C5">
              <w:rPr>
                <w:color w:val="000000"/>
              </w:rPr>
              <w:lastRenderedPageBreak/>
              <w:t>Improved capacity to apply EU law and U</w:t>
            </w:r>
            <w:r w:rsidR="00DF6207">
              <w:rPr>
                <w:color w:val="000000"/>
              </w:rPr>
              <w:t>nion</w:t>
            </w:r>
            <w:r w:rsidRPr="00DE48C5">
              <w:rPr>
                <w:color w:val="000000"/>
              </w:rPr>
              <w:t xml:space="preserve"> cross-border cooperation instruments</w:t>
            </w:r>
            <w:r w:rsidRPr="00DE48C5">
              <w:rPr>
                <w:rFonts w:eastAsia="Aptos"/>
                <w:kern w:val="2"/>
                <w14:ligatures w14:val="standardContextual"/>
              </w:rPr>
              <w:t xml:space="preserve"> adapted to the needs of the digital transition in the justice </w:t>
            </w:r>
            <w:proofErr w:type="gramStart"/>
            <w:r w:rsidRPr="00DE48C5">
              <w:rPr>
                <w:rFonts w:eastAsia="Aptos"/>
                <w:kern w:val="2"/>
                <w14:ligatures w14:val="standardContextual"/>
              </w:rPr>
              <w:t>sector</w:t>
            </w:r>
            <w:r w:rsidRPr="00DE48C5">
              <w:rPr>
                <w:color w:val="000000"/>
              </w:rPr>
              <w:t>;</w:t>
            </w:r>
            <w:proofErr w:type="gramEnd"/>
          </w:p>
          <w:p w14:paraId="51661C44" w14:textId="77777777" w:rsidR="00F47FDE" w:rsidRPr="00876122" w:rsidRDefault="00F47FDE" w:rsidP="00EC0AFD">
            <w:pPr>
              <w:numPr>
                <w:ilvl w:val="0"/>
                <w:numId w:val="15"/>
              </w:numPr>
              <w:shd w:val="clear" w:color="auto" w:fill="FFFFFF"/>
              <w:tabs>
                <w:tab w:val="left" w:pos="833"/>
              </w:tabs>
              <w:spacing w:before="0" w:after="0"/>
              <w:rPr>
                <w:rFonts w:eastAsia="Aptos"/>
                <w:kern w:val="2"/>
                <w14:ligatures w14:val="standardContextual"/>
              </w:rPr>
            </w:pPr>
            <w:r w:rsidRPr="00876122">
              <w:rPr>
                <w:color w:val="000000"/>
              </w:rPr>
              <w:t xml:space="preserve">Improved trust among justice </w:t>
            </w:r>
            <w:proofErr w:type="gramStart"/>
            <w:r w:rsidRPr="00876122">
              <w:rPr>
                <w:color w:val="000000"/>
              </w:rPr>
              <w:t>professionals;</w:t>
            </w:r>
            <w:proofErr w:type="gramEnd"/>
          </w:p>
          <w:p w14:paraId="55572B14" w14:textId="0ECD93D6" w:rsidR="00F47FDE" w:rsidRPr="00876122" w:rsidRDefault="00F47FDE" w:rsidP="00EC0AFD">
            <w:pPr>
              <w:numPr>
                <w:ilvl w:val="0"/>
                <w:numId w:val="15"/>
              </w:numPr>
              <w:shd w:val="clear" w:color="auto" w:fill="FFFFFF"/>
              <w:tabs>
                <w:tab w:val="left" w:pos="833"/>
              </w:tabs>
              <w:spacing w:before="0" w:after="0"/>
              <w:rPr>
                <w:rFonts w:eastAsia="Aptos"/>
                <w:kern w:val="2"/>
                <w14:ligatures w14:val="standardContextual"/>
              </w:rPr>
            </w:pPr>
            <w:r w:rsidRPr="00876122">
              <w:rPr>
                <w:rFonts w:eastAsia="Aptos"/>
                <w:kern w:val="2"/>
                <w14:ligatures w14:val="standardContextual"/>
              </w:rPr>
              <w:t xml:space="preserve">Increased quality, independence and efficiency of justice systems as </w:t>
            </w:r>
            <w:r w:rsidR="00726241">
              <w:rPr>
                <w:rFonts w:eastAsia="Aptos"/>
                <w:kern w:val="2"/>
                <w14:ligatures w14:val="standardContextual"/>
              </w:rPr>
              <w:t xml:space="preserve">foundational elements </w:t>
            </w:r>
            <w:r w:rsidRPr="00876122">
              <w:rPr>
                <w:rFonts w:eastAsia="Aptos"/>
                <w:kern w:val="2"/>
                <w14:ligatures w14:val="standardContextual"/>
              </w:rPr>
              <w:t>of</w:t>
            </w:r>
            <w:r w:rsidR="00855D6C">
              <w:rPr>
                <w:rFonts w:eastAsia="Aptos"/>
                <w:kern w:val="2"/>
                <w14:ligatures w14:val="standardContextual"/>
              </w:rPr>
              <w:t xml:space="preserve"> the</w:t>
            </w:r>
            <w:r w:rsidRPr="00876122">
              <w:rPr>
                <w:rFonts w:eastAsia="Aptos"/>
                <w:kern w:val="2"/>
                <w14:ligatures w14:val="standardContextual"/>
              </w:rPr>
              <w:t xml:space="preserve"> rule of law and important drivers of growth and legal security in the </w:t>
            </w:r>
            <w:proofErr w:type="gramStart"/>
            <w:r w:rsidRPr="00876122">
              <w:rPr>
                <w:rFonts w:eastAsia="Aptos"/>
                <w:kern w:val="2"/>
                <w14:ligatures w14:val="standardContextual"/>
              </w:rPr>
              <w:t>EU;</w:t>
            </w:r>
            <w:proofErr w:type="gramEnd"/>
          </w:p>
          <w:p w14:paraId="0C1C77F5" w14:textId="760F94B8" w:rsidR="00F47FDE" w:rsidRPr="00876122" w:rsidRDefault="00F47FDE" w:rsidP="00EC0AFD">
            <w:pPr>
              <w:numPr>
                <w:ilvl w:val="0"/>
                <w:numId w:val="15"/>
              </w:numPr>
              <w:shd w:val="clear" w:color="auto" w:fill="FFFFFF"/>
              <w:tabs>
                <w:tab w:val="left" w:pos="833"/>
              </w:tabs>
              <w:spacing w:before="0" w:after="0"/>
              <w:rPr>
                <w:rFonts w:eastAsia="Aptos"/>
                <w:kern w:val="2"/>
                <w14:ligatures w14:val="standardContextual"/>
              </w:rPr>
            </w:pPr>
            <w:r w:rsidRPr="00876122">
              <w:rPr>
                <w:rFonts w:eastAsia="Aptos"/>
              </w:rPr>
              <w:t>Enhanced capacity of justice professionals to use digital tools and infrastructure effectively, handle the impact of digitalisation on court proceedings and procedural rights and apply</w:t>
            </w:r>
            <w:r w:rsidR="0027681C">
              <w:rPr>
                <w:rFonts w:eastAsia="Aptos"/>
              </w:rPr>
              <w:t xml:space="preserve"> digitalised</w:t>
            </w:r>
            <w:r w:rsidRPr="00876122">
              <w:rPr>
                <w:rFonts w:eastAsia="Aptos"/>
              </w:rPr>
              <w:t xml:space="preserve"> cross-border </w:t>
            </w:r>
            <w:r w:rsidR="002F6B35">
              <w:rPr>
                <w:rFonts w:eastAsia="Aptos"/>
              </w:rPr>
              <w:t xml:space="preserve">judicial </w:t>
            </w:r>
            <w:r w:rsidRPr="00876122">
              <w:rPr>
                <w:rFonts w:eastAsia="Aptos"/>
              </w:rPr>
              <w:t xml:space="preserve">cooperation tools as </w:t>
            </w:r>
            <w:r w:rsidR="0027681C">
              <w:rPr>
                <w:rFonts w:eastAsia="Aptos"/>
              </w:rPr>
              <w:t>per</w:t>
            </w:r>
            <w:r w:rsidRPr="00876122">
              <w:rPr>
                <w:rFonts w:eastAsia="Aptos"/>
              </w:rPr>
              <w:t xml:space="preserve"> Regulation (EU) 2023/2844</w:t>
            </w:r>
            <w:r w:rsidR="00F36872">
              <w:rPr>
                <w:rStyle w:val="FootnoteReference"/>
                <w:rFonts w:eastAsia="Aptos"/>
              </w:rPr>
              <w:footnoteReference w:id="38"/>
            </w:r>
            <w:r w:rsidRPr="00876122">
              <w:rPr>
                <w:rFonts w:eastAsia="Aptos"/>
              </w:rPr>
              <w:t xml:space="preserve"> and its implementing </w:t>
            </w:r>
            <w:proofErr w:type="gramStart"/>
            <w:r w:rsidRPr="00876122">
              <w:rPr>
                <w:rFonts w:eastAsia="Aptos"/>
              </w:rPr>
              <w:t>acts;</w:t>
            </w:r>
            <w:proofErr w:type="gramEnd"/>
          </w:p>
          <w:p w14:paraId="3B32B5BD" w14:textId="1C512237" w:rsidR="00F47FDE" w:rsidRPr="00876122" w:rsidRDefault="00F47FDE" w:rsidP="00EC0AFD">
            <w:pPr>
              <w:numPr>
                <w:ilvl w:val="0"/>
                <w:numId w:val="15"/>
              </w:numPr>
              <w:shd w:val="clear" w:color="auto" w:fill="FFFFFF"/>
              <w:tabs>
                <w:tab w:val="left" w:pos="833"/>
              </w:tabs>
              <w:spacing w:before="0" w:after="0"/>
              <w:rPr>
                <w:rFonts w:eastAsia="Aptos"/>
                <w:kern w:val="2"/>
                <w14:ligatures w14:val="standardContextual"/>
              </w:rPr>
            </w:pPr>
            <w:r w:rsidRPr="00876122">
              <w:rPr>
                <w:rFonts w:eastAsia="Aptos"/>
                <w:kern w:val="2"/>
                <w14:ligatures w14:val="standardContextual"/>
              </w:rPr>
              <w:t>Increased awareness of justice professionals of</w:t>
            </w:r>
            <w:r w:rsidR="00093CF5">
              <w:rPr>
                <w:rFonts w:eastAsia="Aptos"/>
                <w:kern w:val="2"/>
                <w14:ligatures w14:val="standardContextual"/>
              </w:rPr>
              <w:t xml:space="preserve"> the</w:t>
            </w:r>
            <w:r w:rsidRPr="00876122">
              <w:rPr>
                <w:rFonts w:eastAsia="Aptos"/>
                <w:kern w:val="2"/>
                <w14:ligatures w14:val="standardContextual"/>
              </w:rPr>
              <w:t xml:space="preserve"> potential benefits and risks of digital tools (including AI), their impact on legal proceedings, access to justice and protection of fundamental rights.</w:t>
            </w:r>
          </w:p>
        </w:tc>
      </w:tr>
    </w:tbl>
    <w:p w14:paraId="03838B02" w14:textId="77777777" w:rsidR="00F47FDE" w:rsidRPr="00876122" w:rsidRDefault="00F47FDE" w:rsidP="00FA563B">
      <w:pPr>
        <w:widowControl w:val="0"/>
        <w:shd w:val="clear" w:color="auto" w:fill="FFFFFF"/>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lastRenderedPageBreak/>
        <w:t>Implementation</w:t>
      </w:r>
    </w:p>
    <w:tbl>
      <w:tblPr>
        <w:tblStyle w:val="TableGrid"/>
        <w:tblW w:w="0" w:type="auto"/>
        <w:tblLook w:val="04A0" w:firstRow="1" w:lastRow="0" w:firstColumn="1" w:lastColumn="0" w:noHBand="0" w:noVBand="1"/>
      </w:tblPr>
      <w:tblGrid>
        <w:gridCol w:w="9464"/>
      </w:tblGrid>
      <w:tr w:rsidR="00F47FDE" w:rsidRPr="00876122" w14:paraId="6BB702C6" w14:textId="77777777" w:rsidTr="00EC0AFD">
        <w:trPr>
          <w:trHeight w:val="398"/>
        </w:trPr>
        <w:tc>
          <w:tcPr>
            <w:tcW w:w="9464" w:type="dxa"/>
          </w:tcPr>
          <w:p w14:paraId="700E3292" w14:textId="77777777" w:rsidR="00F47FDE" w:rsidRPr="00876122" w:rsidRDefault="00F47FDE" w:rsidP="00FA563B">
            <w:pPr>
              <w:shd w:val="clear" w:color="auto" w:fill="FFFFFF"/>
              <w:spacing w:before="0" w:after="0"/>
              <w:jc w:val="left"/>
              <w:rPr>
                <w:color w:val="000000"/>
              </w:rPr>
            </w:pPr>
            <w:r w:rsidRPr="00876122">
              <w:rPr>
                <w:color w:val="000000"/>
              </w:rPr>
              <w:t>Direct management by DG JUST</w:t>
            </w:r>
          </w:p>
        </w:tc>
      </w:tr>
    </w:tbl>
    <w:p w14:paraId="66F249F5" w14:textId="77777777" w:rsidR="00F47FDE" w:rsidRPr="00876122" w:rsidRDefault="00F47FDE" w:rsidP="00F47FDE">
      <w:pPr>
        <w:widowControl w:val="0"/>
        <w:shd w:val="clear" w:color="auto" w:fill="FFFFFF"/>
        <w:spacing w:before="0" w:after="240" w:line="288" w:lineRule="auto"/>
        <w:jc w:val="left"/>
        <w:rPr>
          <w:rFonts w:eastAsia="Times New Roman"/>
          <w:b/>
          <w:bCs/>
          <w:smallCaps/>
          <w:color w:val="000000"/>
          <w:sz w:val="20"/>
          <w:szCs w:val="20"/>
          <w:lang w:eastAsia="hr-HR" w:bidi="hr-HR"/>
        </w:rPr>
      </w:pPr>
    </w:p>
    <w:p w14:paraId="780C28B9" w14:textId="5B1CAF6E" w:rsidR="00F47FDE" w:rsidRPr="00876122" w:rsidRDefault="00F47FDE" w:rsidP="00FA563B">
      <w:pPr>
        <w:pStyle w:val="Heading2"/>
        <w:rPr>
          <w:rFonts w:eastAsia="Times New Roman"/>
          <w:lang w:eastAsia="hr-HR" w:bidi="hr-HR"/>
        </w:rPr>
      </w:pPr>
      <w:bookmarkStart w:id="33" w:name="bookmark79"/>
      <w:bookmarkStart w:id="34" w:name="bookmark78"/>
      <w:bookmarkStart w:id="35" w:name="_Toc205461086"/>
      <w:r w:rsidRPr="00876122">
        <w:rPr>
          <w:rFonts w:eastAsia="Times New Roman"/>
          <w:lang w:eastAsia="hr-HR" w:bidi="hr-HR"/>
        </w:rPr>
        <w:t>Call for proposals for action grants to support transnational projects in the fields of e-Justice, victims’ rights and procedural rights</w:t>
      </w:r>
      <w:bookmarkEnd w:id="33"/>
      <w:bookmarkEnd w:id="34"/>
      <w:bookmarkEnd w:id="35"/>
    </w:p>
    <w:p w14:paraId="14EA6811" w14:textId="77777777" w:rsidR="00F47FDE" w:rsidRPr="00876122" w:rsidRDefault="00F47FDE" w:rsidP="00F47FDE">
      <w:pPr>
        <w:widowControl w:val="0"/>
        <w:shd w:val="clear" w:color="auto" w:fill="FFFFFF"/>
        <w:spacing w:before="0" w:after="240" w:line="290"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p w14:paraId="7FA71BA7" w14:textId="3B1182B0"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jc w:val="left"/>
        <w:rPr>
          <w:rFonts w:eastAsia="Times New Roman"/>
          <w:color w:val="000000"/>
          <w:szCs w:val="24"/>
          <w:lang w:eastAsia="hr-HR" w:bidi="hr-HR"/>
        </w:rPr>
      </w:pPr>
      <w:r w:rsidRPr="00876122">
        <w:rPr>
          <w:rFonts w:eastAsia="Times New Roman"/>
          <w:color w:val="000000"/>
          <w:szCs w:val="24"/>
          <w:lang w:eastAsia="hr-HR" w:bidi="hr-HR"/>
        </w:rPr>
        <w:t>Art</w:t>
      </w:r>
      <w:r w:rsidR="00790B69">
        <w:rPr>
          <w:rFonts w:eastAsia="Times New Roman"/>
          <w:color w:val="000000"/>
          <w:szCs w:val="24"/>
          <w:lang w:eastAsia="hr-HR" w:bidi="hr-HR"/>
        </w:rPr>
        <w:t>icle</w:t>
      </w:r>
      <w:r w:rsidR="00802953">
        <w:rPr>
          <w:rFonts w:eastAsia="Times New Roman"/>
          <w:color w:val="000000"/>
          <w:szCs w:val="24"/>
          <w:lang w:eastAsia="hr-HR" w:bidi="hr-HR"/>
        </w:rPr>
        <w:t>s</w:t>
      </w:r>
      <w:r w:rsidR="00876122">
        <w:rPr>
          <w:rFonts w:eastAsia="Times New Roman"/>
          <w:color w:val="000000"/>
          <w:szCs w:val="24"/>
          <w:lang w:eastAsia="hr-HR" w:bidi="hr-HR"/>
        </w:rPr>
        <w:t> </w:t>
      </w:r>
      <w:r w:rsidRPr="00876122">
        <w:rPr>
          <w:rFonts w:eastAsia="Times New Roman"/>
          <w:color w:val="000000"/>
          <w:szCs w:val="24"/>
          <w:lang w:eastAsia="hr-HR" w:bidi="hr-HR"/>
        </w:rPr>
        <w:t xml:space="preserve">3(2)(c) and </w:t>
      </w:r>
      <w:r w:rsidRPr="00876122">
        <w:rPr>
          <w:rFonts w:eastAsia="Times New Roman"/>
          <w:color w:val="000000"/>
          <w:szCs w:val="24"/>
          <w:lang w:eastAsia="bg-BG" w:bidi="bg-BG"/>
        </w:rPr>
        <w:t xml:space="preserve">9 </w:t>
      </w:r>
      <w:r w:rsidR="00802953">
        <w:rPr>
          <w:rFonts w:eastAsia="Times New Roman"/>
          <w:color w:val="000000"/>
          <w:szCs w:val="24"/>
          <w:lang w:eastAsia="bg-BG" w:bidi="bg-BG"/>
        </w:rPr>
        <w:t xml:space="preserve">of </w:t>
      </w:r>
      <w:r w:rsidRPr="00876122">
        <w:rPr>
          <w:rFonts w:eastAsia="Times New Roman"/>
          <w:color w:val="000000"/>
          <w:szCs w:val="24"/>
          <w:lang w:eastAsia="hr-HR" w:bidi="hr-HR"/>
        </w:rPr>
        <w:t xml:space="preserve">Regulation (EU) </w:t>
      </w:r>
      <w:r w:rsidRPr="00876122">
        <w:rPr>
          <w:rFonts w:eastAsia="Times New Roman"/>
          <w:color w:val="000000"/>
          <w:szCs w:val="24"/>
          <w:lang w:eastAsia="bg-BG" w:bidi="bg-BG"/>
        </w:rPr>
        <w:t xml:space="preserve">2021/693 </w:t>
      </w:r>
    </w:p>
    <w:p w14:paraId="48DCE0CF"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5CA94AE0"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03: </w:t>
      </w:r>
      <w:r w:rsidRPr="00876122">
        <w:rPr>
          <w:rFonts w:eastAsia="Times New Roman"/>
          <w:color w:val="000000"/>
          <w:szCs w:val="24"/>
          <w:lang w:eastAsia="hr-HR" w:bidi="hr-HR"/>
        </w:rPr>
        <w:t>Promoting effective access to justice</w:t>
      </w:r>
    </w:p>
    <w:p w14:paraId="65AA5FDF"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542CC873"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rPr>
          <w:rFonts w:eastAsia="Times New Roman"/>
          <w:color w:val="000000"/>
          <w:szCs w:val="24"/>
          <w:lang w:eastAsia="hr-HR" w:bidi="hr-HR"/>
        </w:rPr>
      </w:pPr>
      <w:r w:rsidRPr="00876122">
        <w:rPr>
          <w:rFonts w:eastAsia="Times New Roman"/>
          <w:color w:val="000000"/>
          <w:szCs w:val="24"/>
          <w:lang w:eastAsia="hr-HR" w:bidi="hr-HR"/>
        </w:rPr>
        <w:t>Facilitate effective and non-discriminatory access to justice for all, and effective redress, including by electronic means (e-Justice), by promoting efficient civil, and criminal procedures, and by promoting and supporting the rights of all victims of crime as well as the procedural rights of suspects and accused persons in criminal proceedings.</w:t>
      </w:r>
    </w:p>
    <w:p w14:paraId="5512C6D5" w14:textId="77777777" w:rsidR="00F47FDE" w:rsidRPr="00876122" w:rsidRDefault="00F47FDE" w:rsidP="00F47FDE">
      <w:pPr>
        <w:widowControl w:val="0"/>
        <w:shd w:val="clear" w:color="auto" w:fill="FFFFFF"/>
        <w:spacing w:before="0" w:after="24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Type of applicants targeted</w:t>
      </w:r>
    </w:p>
    <w:p w14:paraId="4C62B82A"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jc w:val="left"/>
        <w:rPr>
          <w:rFonts w:eastAsia="Times New Roman"/>
          <w:color w:val="000000"/>
          <w:szCs w:val="24"/>
          <w:lang w:eastAsia="hr-HR" w:bidi="hr-HR"/>
        </w:rPr>
      </w:pPr>
      <w:r w:rsidRPr="00876122">
        <w:rPr>
          <w:rFonts w:eastAsia="Times New Roman"/>
          <w:b/>
          <w:bCs/>
          <w:color w:val="000000"/>
          <w:szCs w:val="24"/>
          <w:lang w:eastAsia="hr-HR" w:bidi="hr-HR"/>
        </w:rPr>
        <w:t>Legal entities such as:</w:t>
      </w:r>
    </w:p>
    <w:p w14:paraId="023FF47C" w14:textId="15A920A2" w:rsidR="00F47FDE" w:rsidRPr="006D0DEC" w:rsidRDefault="0013531D" w:rsidP="00ED6BA4">
      <w:pPr>
        <w:widowControl w:val="0"/>
        <w:pBdr>
          <w:top w:val="single" w:sz="4" w:space="0" w:color="auto"/>
          <w:left w:val="single" w:sz="4" w:space="0" w:color="auto"/>
          <w:bottom w:val="single" w:sz="4" w:space="0" w:color="auto"/>
          <w:right w:val="single" w:sz="4" w:space="0" w:color="auto"/>
        </w:pBdr>
        <w:shd w:val="clear" w:color="auto" w:fill="FFFFFF"/>
        <w:tabs>
          <w:tab w:val="left" w:pos="1054"/>
          <w:tab w:val="left" w:pos="1115"/>
        </w:tabs>
        <w:spacing w:before="0" w:after="0"/>
        <w:jc w:val="left"/>
        <w:rPr>
          <w:rFonts w:eastAsia="Times New Roman"/>
          <w:color w:val="000000"/>
          <w:szCs w:val="24"/>
          <w:lang w:val="fr-FR" w:eastAsia="hr-HR" w:bidi="hr-HR"/>
        </w:rPr>
      </w:pPr>
      <w:r>
        <w:rPr>
          <w:rFonts w:eastAsia="Times New Roman"/>
          <w:color w:val="000000"/>
          <w:szCs w:val="24"/>
          <w:lang w:val="fr-FR" w:eastAsia="hr-HR" w:bidi="hr-HR"/>
        </w:rPr>
        <w:t xml:space="preserve">i. </w:t>
      </w:r>
      <w:r w:rsidR="00F47FDE" w:rsidRPr="00802953">
        <w:rPr>
          <w:rFonts w:eastAsia="Times New Roman"/>
          <w:color w:val="000000"/>
          <w:szCs w:val="24"/>
          <w:lang w:val="fr-FR" w:eastAsia="hr-HR" w:bidi="hr-HR"/>
        </w:rPr>
        <w:t xml:space="preserve">Public </w:t>
      </w:r>
      <w:proofErr w:type="gramStart"/>
      <w:r w:rsidR="00F47FDE" w:rsidRPr="00802953">
        <w:rPr>
          <w:rFonts w:eastAsia="Times New Roman"/>
          <w:color w:val="000000"/>
          <w:szCs w:val="24"/>
          <w:lang w:val="fr-FR" w:eastAsia="hr-HR" w:bidi="hr-HR"/>
        </w:rPr>
        <w:t>bodies</w:t>
      </w:r>
      <w:r w:rsidR="00802953">
        <w:rPr>
          <w:rFonts w:eastAsia="Times New Roman"/>
          <w:color w:val="000000"/>
          <w:szCs w:val="24"/>
          <w:lang w:val="fr-FR" w:eastAsia="hr-HR" w:bidi="hr-HR"/>
        </w:rPr>
        <w:t>;</w:t>
      </w:r>
      <w:proofErr w:type="gramEnd"/>
    </w:p>
    <w:p w14:paraId="6A92E8A0" w14:textId="29CF737A" w:rsidR="00F47FDE" w:rsidRPr="006D0DEC" w:rsidRDefault="0013531D" w:rsidP="00ED6BA4">
      <w:pPr>
        <w:widowControl w:val="0"/>
        <w:pBdr>
          <w:top w:val="single" w:sz="4" w:space="0" w:color="auto"/>
          <w:left w:val="single" w:sz="4" w:space="0" w:color="auto"/>
          <w:bottom w:val="single" w:sz="4" w:space="0" w:color="auto"/>
          <w:right w:val="single" w:sz="4" w:space="0" w:color="auto"/>
        </w:pBdr>
        <w:shd w:val="clear" w:color="auto" w:fill="FFFFFF"/>
        <w:tabs>
          <w:tab w:val="left" w:pos="1054"/>
          <w:tab w:val="left" w:pos="1115"/>
        </w:tabs>
        <w:spacing w:before="0" w:after="0"/>
        <w:jc w:val="left"/>
        <w:rPr>
          <w:rFonts w:eastAsia="Times New Roman"/>
          <w:color w:val="000000"/>
          <w:szCs w:val="24"/>
          <w:lang w:val="fr-FR" w:eastAsia="hr-HR" w:bidi="hr-HR"/>
        </w:rPr>
      </w:pPr>
      <w:r>
        <w:rPr>
          <w:rFonts w:eastAsia="Times New Roman"/>
          <w:color w:val="000000"/>
          <w:szCs w:val="24"/>
          <w:lang w:val="fr-FR" w:eastAsia="hr-HR" w:bidi="hr-HR"/>
        </w:rPr>
        <w:t xml:space="preserve">ii. </w:t>
      </w:r>
      <w:r w:rsidR="00F47FDE" w:rsidRPr="006D0DEC">
        <w:rPr>
          <w:rFonts w:eastAsia="Times New Roman"/>
          <w:color w:val="000000"/>
          <w:szCs w:val="24"/>
          <w:lang w:val="fr-FR" w:eastAsia="hr-HR" w:bidi="hr-HR"/>
        </w:rPr>
        <w:t xml:space="preserve">Non-profit </w:t>
      </w:r>
      <w:proofErr w:type="spellStart"/>
      <w:r w:rsidR="00F47FDE" w:rsidRPr="006D0DEC">
        <w:rPr>
          <w:rFonts w:eastAsia="Times New Roman"/>
          <w:color w:val="000000"/>
          <w:szCs w:val="24"/>
          <w:lang w:val="fr-FR" w:eastAsia="hr-HR" w:bidi="hr-HR"/>
        </w:rPr>
        <w:t>private</w:t>
      </w:r>
      <w:proofErr w:type="spellEnd"/>
      <w:r w:rsidR="00F47FDE" w:rsidRPr="006D0DEC">
        <w:rPr>
          <w:rFonts w:eastAsia="Times New Roman"/>
          <w:color w:val="000000"/>
          <w:szCs w:val="24"/>
          <w:lang w:val="fr-FR" w:eastAsia="hr-HR" w:bidi="hr-HR"/>
        </w:rPr>
        <w:t xml:space="preserve"> </w:t>
      </w:r>
      <w:proofErr w:type="gramStart"/>
      <w:r w:rsidR="00F47FDE" w:rsidRPr="006D0DEC">
        <w:rPr>
          <w:rFonts w:eastAsia="Times New Roman"/>
          <w:color w:val="000000"/>
          <w:szCs w:val="24"/>
          <w:lang w:val="fr-FR" w:eastAsia="hr-HR" w:bidi="hr-HR"/>
        </w:rPr>
        <w:t>organisations;</w:t>
      </w:r>
      <w:proofErr w:type="gramEnd"/>
    </w:p>
    <w:p w14:paraId="20F32915" w14:textId="108DA1C1" w:rsidR="00F47FDE" w:rsidRPr="00876122" w:rsidRDefault="0013531D" w:rsidP="00ED6BA4">
      <w:pPr>
        <w:widowControl w:val="0"/>
        <w:pBdr>
          <w:top w:val="single" w:sz="4" w:space="0" w:color="auto"/>
          <w:left w:val="single" w:sz="4" w:space="0" w:color="auto"/>
          <w:bottom w:val="single" w:sz="4" w:space="0" w:color="auto"/>
          <w:right w:val="single" w:sz="4" w:space="0" w:color="auto"/>
        </w:pBdr>
        <w:shd w:val="clear" w:color="auto" w:fill="FFFFFF"/>
        <w:tabs>
          <w:tab w:val="left" w:pos="1054"/>
          <w:tab w:val="left" w:pos="1115"/>
        </w:tabs>
        <w:spacing w:before="0" w:after="0"/>
        <w:jc w:val="left"/>
        <w:rPr>
          <w:rFonts w:eastAsia="Times New Roman"/>
          <w:color w:val="000000"/>
          <w:szCs w:val="24"/>
          <w:lang w:eastAsia="hr-HR" w:bidi="hr-HR"/>
        </w:rPr>
      </w:pPr>
      <w:r>
        <w:rPr>
          <w:rFonts w:eastAsia="Times New Roman"/>
          <w:color w:val="000000"/>
          <w:szCs w:val="24"/>
          <w:lang w:eastAsia="hr-HR" w:bidi="hr-HR"/>
        </w:rPr>
        <w:t xml:space="preserve">iii. </w:t>
      </w:r>
      <w:r w:rsidR="00F47FDE" w:rsidRPr="00876122">
        <w:rPr>
          <w:rFonts w:eastAsia="Times New Roman"/>
          <w:color w:val="000000"/>
          <w:szCs w:val="24"/>
          <w:lang w:eastAsia="hr-HR" w:bidi="hr-HR"/>
        </w:rPr>
        <w:t xml:space="preserve">International </w:t>
      </w:r>
      <w:proofErr w:type="gramStart"/>
      <w:r w:rsidR="00F47FDE" w:rsidRPr="00876122">
        <w:rPr>
          <w:rFonts w:eastAsia="Times New Roman"/>
          <w:color w:val="000000"/>
          <w:szCs w:val="24"/>
          <w:lang w:eastAsia="hr-HR" w:bidi="hr-HR"/>
        </w:rPr>
        <w:t>organisations;</w:t>
      </w:r>
      <w:proofErr w:type="gramEnd"/>
    </w:p>
    <w:p w14:paraId="2B7BC4C6" w14:textId="449763AB" w:rsidR="00F47FDE" w:rsidRPr="00876122" w:rsidRDefault="0013531D" w:rsidP="00ED6BA4">
      <w:pPr>
        <w:widowControl w:val="0"/>
        <w:pBdr>
          <w:top w:val="single" w:sz="4" w:space="0" w:color="auto"/>
          <w:left w:val="single" w:sz="4" w:space="0" w:color="auto"/>
          <w:bottom w:val="single" w:sz="4" w:space="0" w:color="auto"/>
          <w:right w:val="single" w:sz="4" w:space="0" w:color="auto"/>
        </w:pBdr>
        <w:shd w:val="clear" w:color="auto" w:fill="FFFFFF"/>
        <w:tabs>
          <w:tab w:val="left" w:pos="1054"/>
          <w:tab w:val="left" w:pos="1115"/>
        </w:tabs>
        <w:spacing w:before="0" w:after="460"/>
        <w:jc w:val="left"/>
        <w:rPr>
          <w:rFonts w:eastAsia="Times New Roman"/>
          <w:color w:val="000000"/>
          <w:szCs w:val="24"/>
          <w:lang w:eastAsia="hr-HR" w:bidi="hr-HR"/>
        </w:rPr>
      </w:pPr>
      <w:r>
        <w:rPr>
          <w:rFonts w:eastAsia="Times New Roman"/>
          <w:color w:val="000000"/>
          <w:szCs w:val="24"/>
          <w:lang w:eastAsia="hr-HR" w:bidi="hr-HR"/>
        </w:rPr>
        <w:t xml:space="preserve">iv. </w:t>
      </w:r>
      <w:r w:rsidR="00F47FDE" w:rsidRPr="00876122">
        <w:rPr>
          <w:rFonts w:eastAsia="Times New Roman"/>
          <w:color w:val="000000"/>
          <w:szCs w:val="24"/>
          <w:lang w:eastAsia="hr-HR" w:bidi="hr-HR"/>
        </w:rPr>
        <w:t>Profit</w:t>
      </w:r>
      <w:r w:rsidR="005C2CB9">
        <w:rPr>
          <w:rFonts w:eastAsia="Times New Roman"/>
          <w:color w:val="000000"/>
          <w:szCs w:val="24"/>
          <w:lang w:eastAsia="hr-HR" w:bidi="hr-HR"/>
        </w:rPr>
        <w:t>-</w:t>
      </w:r>
      <w:r w:rsidR="00F47FDE" w:rsidRPr="00876122">
        <w:rPr>
          <w:rFonts w:eastAsia="Times New Roman"/>
          <w:color w:val="000000"/>
          <w:szCs w:val="24"/>
          <w:lang w:eastAsia="hr-HR" w:bidi="hr-HR"/>
        </w:rPr>
        <w:t>making private entities.</w:t>
      </w:r>
    </w:p>
    <w:p w14:paraId="4638B7F8"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Policy priorities</w:t>
      </w:r>
    </w:p>
    <w:p w14:paraId="08F68F59"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jc w:val="left"/>
        <w:rPr>
          <w:rFonts w:eastAsia="Times New Roman"/>
          <w:color w:val="000000"/>
          <w:szCs w:val="24"/>
          <w:lang w:eastAsia="hr-HR" w:bidi="hr-HR"/>
        </w:rPr>
      </w:pPr>
      <w:r w:rsidRPr="00876122">
        <w:rPr>
          <w:rFonts w:eastAsia="Times New Roman"/>
          <w:color w:val="000000"/>
          <w:szCs w:val="24"/>
          <w:lang w:eastAsia="hr-HR" w:bidi="hr-HR"/>
        </w:rPr>
        <w:t>This call for proposals covers two priorities:</w:t>
      </w:r>
    </w:p>
    <w:p w14:paraId="79B873EF" w14:textId="4B0D9C87" w:rsidR="00802953" w:rsidRPr="00802953" w:rsidRDefault="00F47FDE" w:rsidP="006D0DEC">
      <w:pPr>
        <w:pStyle w:val="ListParagraph"/>
        <w:widowControl w:val="0"/>
        <w:numPr>
          <w:ilvl w:val="0"/>
          <w:numId w:val="58"/>
        </w:numPr>
        <w:pBdr>
          <w:top w:val="single" w:sz="4" w:space="0" w:color="auto"/>
          <w:left w:val="single" w:sz="4" w:space="19" w:color="auto"/>
          <w:bottom w:val="single" w:sz="4" w:space="0" w:color="auto"/>
          <w:right w:val="single" w:sz="4" w:space="0" w:color="auto"/>
        </w:pBdr>
        <w:shd w:val="clear" w:color="auto" w:fill="FFFFFF"/>
        <w:tabs>
          <w:tab w:val="left" w:pos="1195"/>
        </w:tabs>
        <w:spacing w:before="0" w:after="0"/>
        <w:jc w:val="left"/>
        <w:rPr>
          <w:rFonts w:eastAsia="Times New Roman"/>
          <w:color w:val="000000"/>
          <w:szCs w:val="24"/>
          <w:lang w:eastAsia="hr-HR" w:bidi="hr-HR"/>
        </w:rPr>
      </w:pPr>
      <w:r w:rsidRPr="00802953">
        <w:rPr>
          <w:rFonts w:eastAsia="Times New Roman"/>
          <w:b/>
          <w:bCs/>
          <w:color w:val="000000"/>
          <w:szCs w:val="24"/>
          <w:lang w:eastAsia="hr-HR" w:bidi="hr-HR"/>
        </w:rPr>
        <w:lastRenderedPageBreak/>
        <w:t>e-</w:t>
      </w:r>
      <w:r w:rsidRPr="00802953">
        <w:rPr>
          <w:b/>
          <w:bCs/>
          <w:lang w:eastAsia="hr-HR" w:bidi="hr-HR"/>
        </w:rPr>
        <w:t>j</w:t>
      </w:r>
      <w:r w:rsidRPr="00802953">
        <w:rPr>
          <w:rFonts w:eastAsia="Times New Roman"/>
          <w:b/>
          <w:bCs/>
          <w:color w:val="000000"/>
          <w:szCs w:val="24"/>
          <w:lang w:eastAsia="hr-HR" w:bidi="hr-HR"/>
        </w:rPr>
        <w:t>ustice</w:t>
      </w:r>
    </w:p>
    <w:p w14:paraId="10A23F96" w14:textId="77777777" w:rsidR="00F47FDE" w:rsidRPr="00802953" w:rsidRDefault="00F47FDE" w:rsidP="006D0DEC">
      <w:pPr>
        <w:pStyle w:val="ListParagraph"/>
        <w:widowControl w:val="0"/>
        <w:numPr>
          <w:ilvl w:val="0"/>
          <w:numId w:val="58"/>
        </w:numPr>
        <w:pBdr>
          <w:top w:val="single" w:sz="4" w:space="0" w:color="auto"/>
          <w:left w:val="single" w:sz="4" w:space="19" w:color="auto"/>
          <w:bottom w:val="single" w:sz="4" w:space="0" w:color="auto"/>
          <w:right w:val="single" w:sz="4" w:space="0" w:color="auto"/>
        </w:pBdr>
        <w:shd w:val="clear" w:color="auto" w:fill="FFFFFF"/>
        <w:tabs>
          <w:tab w:val="left" w:pos="1203"/>
        </w:tabs>
        <w:spacing w:before="0" w:after="0"/>
        <w:jc w:val="left"/>
        <w:rPr>
          <w:rFonts w:eastAsia="Times New Roman"/>
          <w:color w:val="000000"/>
          <w:szCs w:val="24"/>
          <w:lang w:eastAsia="hr-HR" w:bidi="hr-HR"/>
        </w:rPr>
      </w:pPr>
      <w:r w:rsidRPr="00802953">
        <w:rPr>
          <w:rFonts w:eastAsia="Times New Roman"/>
          <w:b/>
          <w:bCs/>
          <w:color w:val="000000"/>
          <w:szCs w:val="24"/>
          <w:lang w:eastAsia="hr-HR" w:bidi="hr-HR"/>
        </w:rPr>
        <w:t>Victims’ rights and procedural rights</w:t>
      </w:r>
    </w:p>
    <w:p w14:paraId="7ED2052E" w14:textId="77777777" w:rsidR="00802953" w:rsidRDefault="00802953" w:rsidP="00F47FDE">
      <w:pPr>
        <w:widowControl w:val="0"/>
        <w:shd w:val="clear" w:color="auto" w:fill="FFFFFF"/>
        <w:spacing w:before="0" w:after="240"/>
        <w:jc w:val="left"/>
        <w:rPr>
          <w:rFonts w:eastAsia="Times New Roman"/>
          <w:b/>
          <w:bCs/>
          <w:smallCaps/>
          <w:color w:val="000000"/>
          <w:sz w:val="20"/>
          <w:szCs w:val="20"/>
          <w:lang w:eastAsia="hr-HR" w:bidi="hr-HR"/>
        </w:rPr>
      </w:pPr>
    </w:p>
    <w:p w14:paraId="3B6E0AAD" w14:textId="2DF082AD"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tbl>
      <w:tblPr>
        <w:tblStyle w:val="TableGrid"/>
        <w:tblW w:w="0" w:type="auto"/>
        <w:tblLook w:val="04A0" w:firstRow="1" w:lastRow="0" w:firstColumn="1" w:lastColumn="0" w:noHBand="0" w:noVBand="1"/>
      </w:tblPr>
      <w:tblGrid>
        <w:gridCol w:w="9464"/>
      </w:tblGrid>
      <w:tr w:rsidR="00F47FDE" w:rsidRPr="00876122" w14:paraId="32389267" w14:textId="77777777" w:rsidTr="00EC0AFD">
        <w:tc>
          <w:tcPr>
            <w:tcW w:w="9464" w:type="dxa"/>
          </w:tcPr>
          <w:p w14:paraId="079C56A2" w14:textId="37DFAE62" w:rsidR="00F47FDE" w:rsidRPr="00876122" w:rsidRDefault="00F47FDE" w:rsidP="00F47FDE">
            <w:pPr>
              <w:shd w:val="clear" w:color="auto" w:fill="FFFFFF"/>
              <w:spacing w:before="0" w:after="0"/>
              <w:rPr>
                <w:color w:val="000000"/>
              </w:rPr>
            </w:pPr>
            <w:r w:rsidRPr="00876122">
              <w:rPr>
                <w:b/>
                <w:bCs/>
                <w:color w:val="000000"/>
              </w:rPr>
              <w:t xml:space="preserve">For priority </w:t>
            </w:r>
            <w:r w:rsidRPr="00876122">
              <w:rPr>
                <w:b/>
                <w:bCs/>
                <w:color w:val="000000"/>
                <w:lang w:eastAsia="bg-BG" w:bidi="bg-BG"/>
              </w:rPr>
              <w:t xml:space="preserve">1 </w:t>
            </w:r>
            <w:r w:rsidRPr="00876122">
              <w:rPr>
                <w:b/>
                <w:bCs/>
                <w:color w:val="000000"/>
              </w:rPr>
              <w:t>(</w:t>
            </w:r>
            <w:r w:rsidRPr="00D55205">
              <w:rPr>
                <w:b/>
                <w:bCs/>
                <w:color w:val="000000"/>
              </w:rPr>
              <w:t>e-justice):</w:t>
            </w:r>
          </w:p>
          <w:p w14:paraId="13B438C8" w14:textId="46ED1DC1" w:rsidR="00F47FDE" w:rsidRPr="00876122" w:rsidRDefault="00F47FDE" w:rsidP="00EC0AFD">
            <w:pPr>
              <w:numPr>
                <w:ilvl w:val="0"/>
                <w:numId w:val="12"/>
              </w:numPr>
              <w:shd w:val="clear" w:color="auto" w:fill="FFFFFF"/>
              <w:tabs>
                <w:tab w:val="left" w:pos="835"/>
              </w:tabs>
              <w:spacing w:before="0" w:after="0"/>
              <w:rPr>
                <w:color w:val="000000"/>
              </w:rPr>
            </w:pPr>
            <w:r w:rsidRPr="00876122">
              <w:rPr>
                <w:color w:val="000000"/>
              </w:rPr>
              <w:t xml:space="preserve">Initiatives supporting the digitalisation of cross-border judicial procedures, </w:t>
            </w:r>
            <w:proofErr w:type="gramStart"/>
            <w:r w:rsidRPr="00876122">
              <w:rPr>
                <w:color w:val="000000"/>
              </w:rPr>
              <w:t>in particular</w:t>
            </w:r>
            <w:proofErr w:type="gramEnd"/>
            <w:r w:rsidRPr="00876122">
              <w:rPr>
                <w:color w:val="000000"/>
              </w:rPr>
              <w:t xml:space="preserve"> the use of videoconferencing, as mentioned also in the European e-Justice Strategy </w:t>
            </w:r>
            <w:r w:rsidRPr="00876122">
              <w:rPr>
                <w:color w:val="000000"/>
                <w:lang w:eastAsia="bg-BG" w:bidi="bg-BG"/>
              </w:rPr>
              <w:t xml:space="preserve">(2024-2028) </w:t>
            </w:r>
            <w:r w:rsidRPr="00876122">
              <w:rPr>
                <w:color w:val="000000"/>
              </w:rPr>
              <w:t>of the Council of the European Union</w:t>
            </w:r>
            <w:r w:rsidR="00F36872">
              <w:rPr>
                <w:rStyle w:val="FootnoteReference"/>
                <w:color w:val="000000"/>
              </w:rPr>
              <w:footnoteReference w:id="39"/>
            </w:r>
            <w:r w:rsidRPr="00876122">
              <w:rPr>
                <w:color w:val="000000"/>
              </w:rPr>
              <w:t>;</w:t>
            </w:r>
          </w:p>
          <w:p w14:paraId="03F2FF6A" w14:textId="020A8C3D" w:rsidR="00F47FDE" w:rsidRPr="00876122" w:rsidRDefault="00F47FDE" w:rsidP="00EC0AFD">
            <w:pPr>
              <w:numPr>
                <w:ilvl w:val="0"/>
                <w:numId w:val="12"/>
              </w:numPr>
              <w:shd w:val="clear" w:color="auto" w:fill="FFFFFF"/>
              <w:tabs>
                <w:tab w:val="left" w:pos="835"/>
              </w:tabs>
              <w:spacing w:before="0" w:after="0"/>
              <w:rPr>
                <w:color w:val="000000"/>
              </w:rPr>
            </w:pPr>
            <w:r w:rsidRPr="00876122">
              <w:rPr>
                <w:color w:val="000000"/>
              </w:rPr>
              <w:t xml:space="preserve">Activities supporting the implementation of Regulation (EU) </w:t>
            </w:r>
            <w:r w:rsidRPr="00876122">
              <w:rPr>
                <w:color w:val="000000"/>
                <w:lang w:eastAsia="bg-BG" w:bidi="bg-BG"/>
              </w:rPr>
              <w:t>2023/2844</w:t>
            </w:r>
            <w:r w:rsidR="00F36872">
              <w:rPr>
                <w:rStyle w:val="FootnoteReference"/>
                <w:color w:val="000000"/>
                <w:lang w:eastAsia="bg-BG" w:bidi="bg-BG"/>
              </w:rPr>
              <w:footnoteReference w:id="40"/>
            </w:r>
            <w:r w:rsidRPr="00876122">
              <w:rPr>
                <w:color w:val="000000"/>
                <w:lang w:eastAsia="bg-BG" w:bidi="bg-BG"/>
              </w:rPr>
              <w:t>;</w:t>
            </w:r>
          </w:p>
          <w:p w14:paraId="1C3D462C" w14:textId="168DEB7C" w:rsidR="00F47FDE" w:rsidRPr="00876122" w:rsidRDefault="00F47FDE" w:rsidP="00EC0AFD">
            <w:pPr>
              <w:numPr>
                <w:ilvl w:val="0"/>
                <w:numId w:val="12"/>
              </w:numPr>
              <w:shd w:val="clear" w:color="auto" w:fill="FFFFFF"/>
              <w:tabs>
                <w:tab w:val="left" w:pos="835"/>
              </w:tabs>
              <w:spacing w:before="0" w:after="0"/>
              <w:rPr>
                <w:color w:val="000000"/>
              </w:rPr>
            </w:pPr>
            <w:r w:rsidRPr="00876122">
              <w:rPr>
                <w:color w:val="000000"/>
              </w:rPr>
              <w:t>Improved participation, with the aim of achieving full EU coverage</w:t>
            </w:r>
            <w:r w:rsidR="00F32B59">
              <w:rPr>
                <w:color w:val="000000"/>
              </w:rPr>
              <w:t>,</w:t>
            </w:r>
            <w:r w:rsidRPr="00876122">
              <w:rPr>
                <w:color w:val="000000"/>
              </w:rPr>
              <w:t xml:space="preserve"> </w:t>
            </w:r>
            <w:r w:rsidR="00F32B59">
              <w:rPr>
                <w:color w:val="000000"/>
              </w:rPr>
              <w:t>in</w:t>
            </w:r>
            <w:r w:rsidR="00F32B59" w:rsidRPr="00876122">
              <w:rPr>
                <w:color w:val="000000"/>
              </w:rPr>
              <w:t xml:space="preserve"> </w:t>
            </w:r>
            <w:r w:rsidRPr="00876122">
              <w:rPr>
                <w:color w:val="000000"/>
              </w:rPr>
              <w:t>the various e-justice interconnection projects.</w:t>
            </w:r>
          </w:p>
          <w:p w14:paraId="75B9D674" w14:textId="77777777" w:rsidR="00F47FDE" w:rsidRPr="00876122" w:rsidRDefault="00F47FDE" w:rsidP="00F47FDE">
            <w:pPr>
              <w:shd w:val="clear" w:color="auto" w:fill="FFFFFF"/>
              <w:spacing w:before="0" w:after="100"/>
              <w:rPr>
                <w:b/>
                <w:bCs/>
                <w:color w:val="000000"/>
              </w:rPr>
            </w:pPr>
          </w:p>
          <w:p w14:paraId="7565237D" w14:textId="77777777" w:rsidR="00F47FDE" w:rsidRPr="00876122" w:rsidRDefault="00F47FDE" w:rsidP="00F47FDE">
            <w:pPr>
              <w:shd w:val="clear" w:color="auto" w:fill="FFFFFF"/>
              <w:spacing w:before="0" w:after="100"/>
              <w:rPr>
                <w:color w:val="000000"/>
              </w:rPr>
            </w:pPr>
            <w:r w:rsidRPr="00876122">
              <w:rPr>
                <w:b/>
                <w:bCs/>
                <w:color w:val="000000"/>
              </w:rPr>
              <w:t xml:space="preserve">For priority </w:t>
            </w:r>
            <w:r w:rsidRPr="00876122">
              <w:rPr>
                <w:b/>
                <w:bCs/>
                <w:color w:val="000000"/>
                <w:lang w:eastAsia="bg-BG" w:bidi="bg-BG"/>
              </w:rPr>
              <w:t xml:space="preserve">2 </w:t>
            </w:r>
            <w:r w:rsidRPr="00876122">
              <w:rPr>
                <w:b/>
                <w:bCs/>
                <w:color w:val="000000"/>
              </w:rPr>
              <w:t>(victims’ rights and procedural rights):</w:t>
            </w:r>
          </w:p>
          <w:p w14:paraId="440F5C49" w14:textId="5D8FB78E" w:rsidR="00F47FDE" w:rsidRPr="00876122" w:rsidRDefault="00F47FDE" w:rsidP="00F47FDE">
            <w:pPr>
              <w:shd w:val="clear" w:color="auto" w:fill="FFFFFF"/>
              <w:spacing w:before="0" w:after="0"/>
              <w:rPr>
                <w:color w:val="000000"/>
              </w:rPr>
            </w:pPr>
            <w:r w:rsidRPr="00876122">
              <w:rPr>
                <w:color w:val="000000"/>
              </w:rPr>
              <w:t xml:space="preserve">Expected results </w:t>
            </w:r>
            <w:proofErr w:type="gramStart"/>
            <w:r w:rsidR="00CF4371">
              <w:rPr>
                <w:color w:val="000000"/>
              </w:rPr>
              <w:t xml:space="preserve">in </w:t>
            </w:r>
            <w:r w:rsidRPr="00876122">
              <w:rPr>
                <w:color w:val="000000"/>
              </w:rPr>
              <w:t>the area of</w:t>
            </w:r>
            <w:proofErr w:type="gramEnd"/>
            <w:r w:rsidRPr="00876122">
              <w:rPr>
                <w:color w:val="000000"/>
              </w:rPr>
              <w:t xml:space="preserve"> procedural rights are:</w:t>
            </w:r>
          </w:p>
          <w:p w14:paraId="1C542953" w14:textId="77777777" w:rsidR="00F47FDE" w:rsidRPr="00876122" w:rsidRDefault="00F47FDE" w:rsidP="00F47FDE">
            <w:pPr>
              <w:shd w:val="clear" w:color="auto" w:fill="FFFFFF"/>
              <w:tabs>
                <w:tab w:val="left" w:pos="835"/>
              </w:tabs>
              <w:spacing w:before="0" w:after="0" w:line="202" w:lineRule="auto"/>
              <w:rPr>
                <w:color w:val="000000"/>
              </w:rPr>
            </w:pPr>
          </w:p>
          <w:p w14:paraId="63C20F98" w14:textId="54BE50D5" w:rsidR="00F47FDE" w:rsidRPr="00876122" w:rsidRDefault="00F47FDE" w:rsidP="00EC0AFD">
            <w:pPr>
              <w:numPr>
                <w:ilvl w:val="0"/>
                <w:numId w:val="13"/>
              </w:numPr>
              <w:shd w:val="clear" w:color="auto" w:fill="FFFFFF"/>
              <w:tabs>
                <w:tab w:val="left" w:pos="835"/>
              </w:tabs>
              <w:spacing w:before="0" w:after="0"/>
              <w:rPr>
                <w:color w:val="000000"/>
              </w:rPr>
            </w:pPr>
            <w:r w:rsidRPr="00876122">
              <w:rPr>
                <w:color w:val="000000"/>
              </w:rPr>
              <w:t>Improved knowledge of the legislation and administrative practices related to specific provisions of the U</w:t>
            </w:r>
            <w:r w:rsidR="00DF6207">
              <w:rPr>
                <w:color w:val="000000"/>
              </w:rPr>
              <w:t>nion</w:t>
            </w:r>
            <w:r w:rsidRPr="00876122">
              <w:rPr>
                <w:color w:val="000000"/>
              </w:rPr>
              <w:t xml:space="preserve"> </w:t>
            </w:r>
            <w:r w:rsidR="00876122">
              <w:rPr>
                <w:i/>
                <w:color w:val="000000"/>
              </w:rPr>
              <w:t>acquis</w:t>
            </w:r>
            <w:r w:rsidRPr="00876122">
              <w:rPr>
                <w:color w:val="000000"/>
              </w:rPr>
              <w:t xml:space="preserve"> regulating the rights of suspects and accused persons in criminal </w:t>
            </w:r>
            <w:proofErr w:type="gramStart"/>
            <w:r w:rsidRPr="00876122">
              <w:rPr>
                <w:color w:val="000000"/>
              </w:rPr>
              <w:t>proceedings;</w:t>
            </w:r>
            <w:proofErr w:type="gramEnd"/>
          </w:p>
          <w:p w14:paraId="26DD2E22" w14:textId="17C8934F" w:rsidR="00F47FDE" w:rsidRPr="00876122" w:rsidRDefault="00F47FDE" w:rsidP="00EC0AFD">
            <w:pPr>
              <w:numPr>
                <w:ilvl w:val="0"/>
                <w:numId w:val="13"/>
              </w:numPr>
              <w:shd w:val="clear" w:color="auto" w:fill="FFFFFF"/>
              <w:tabs>
                <w:tab w:val="left" w:pos="835"/>
              </w:tabs>
              <w:spacing w:before="0" w:after="0"/>
              <w:rPr>
                <w:color w:val="000000"/>
              </w:rPr>
            </w:pPr>
            <w:r w:rsidRPr="00876122">
              <w:rPr>
                <w:color w:val="000000"/>
              </w:rPr>
              <w:t xml:space="preserve">Increased capacity of national practitioners to address issues related to such rights, </w:t>
            </w:r>
            <w:r w:rsidRPr="00876122">
              <w:rPr>
                <w:color w:val="000000"/>
                <w:lang w:eastAsia="en-GB"/>
              </w:rPr>
              <w:t xml:space="preserve">including in the context of digitalisation of justice and the use of AI </w:t>
            </w:r>
            <w:proofErr w:type="gramStart"/>
            <w:r w:rsidRPr="00876122">
              <w:rPr>
                <w:color w:val="000000"/>
                <w:lang w:eastAsia="en-GB"/>
              </w:rPr>
              <w:t>tools</w:t>
            </w:r>
            <w:r w:rsidRPr="00876122">
              <w:rPr>
                <w:color w:val="000000"/>
              </w:rPr>
              <w:t>;</w:t>
            </w:r>
            <w:proofErr w:type="gramEnd"/>
          </w:p>
          <w:p w14:paraId="0E3FA81E" w14:textId="64AF4667" w:rsidR="00F47FDE" w:rsidRPr="00876122" w:rsidRDefault="00F47FDE" w:rsidP="00EC0AFD">
            <w:pPr>
              <w:numPr>
                <w:ilvl w:val="0"/>
                <w:numId w:val="13"/>
              </w:numPr>
              <w:shd w:val="clear" w:color="auto" w:fill="FFFFFF"/>
              <w:tabs>
                <w:tab w:val="left" w:pos="835"/>
              </w:tabs>
              <w:spacing w:before="0" w:after="0"/>
              <w:rPr>
                <w:color w:val="000000"/>
              </w:rPr>
            </w:pPr>
            <w:r w:rsidRPr="00876122">
              <w:rPr>
                <w:color w:val="000000"/>
              </w:rPr>
              <w:t xml:space="preserve">Strengthened cooperation and exchange of information between competent national authorities, NGOs and professional organisations in relation to the rights of persons suspected or accused of </w:t>
            </w:r>
            <w:proofErr w:type="gramStart"/>
            <w:r w:rsidRPr="00876122">
              <w:rPr>
                <w:color w:val="000000"/>
              </w:rPr>
              <w:t>crime;</w:t>
            </w:r>
            <w:proofErr w:type="gramEnd"/>
          </w:p>
          <w:p w14:paraId="3B21519A" w14:textId="3EF2C131" w:rsidR="00F47FDE" w:rsidRPr="00392179" w:rsidRDefault="00F47FDE" w:rsidP="00EC0AFD">
            <w:pPr>
              <w:numPr>
                <w:ilvl w:val="0"/>
                <w:numId w:val="13"/>
              </w:numPr>
              <w:shd w:val="clear" w:color="auto" w:fill="FFFFFF"/>
              <w:tabs>
                <w:tab w:val="left" w:pos="835"/>
              </w:tabs>
              <w:spacing w:before="0" w:after="0"/>
              <w:rPr>
                <w:color w:val="000000"/>
              </w:rPr>
            </w:pPr>
            <w:r w:rsidRPr="00392179">
              <w:rPr>
                <w:color w:val="000000"/>
              </w:rPr>
              <w:t xml:space="preserve">Increased harmonisation of the administrative practices in relation to the relevant legislation in different Member </w:t>
            </w:r>
            <w:proofErr w:type="gramStart"/>
            <w:r w:rsidRPr="00392179">
              <w:rPr>
                <w:color w:val="000000"/>
              </w:rPr>
              <w:t>States;</w:t>
            </w:r>
            <w:proofErr w:type="gramEnd"/>
          </w:p>
          <w:p w14:paraId="08445E76" w14:textId="7211A8CD" w:rsidR="00F47FDE" w:rsidRPr="00876122" w:rsidRDefault="00F47FDE" w:rsidP="00EC0AFD">
            <w:pPr>
              <w:numPr>
                <w:ilvl w:val="0"/>
                <w:numId w:val="13"/>
              </w:numPr>
              <w:shd w:val="clear" w:color="auto" w:fill="FFFFFF"/>
              <w:tabs>
                <w:tab w:val="left" w:pos="835"/>
              </w:tabs>
              <w:spacing w:before="0" w:after="0"/>
              <w:rPr>
                <w:color w:val="000000"/>
              </w:rPr>
            </w:pPr>
            <w:r w:rsidRPr="00876122">
              <w:rPr>
                <w:color w:val="000000"/>
              </w:rPr>
              <w:t xml:space="preserve">Reduced risks of breaches of fair trial </w:t>
            </w:r>
            <w:proofErr w:type="gramStart"/>
            <w:r w:rsidRPr="00876122">
              <w:rPr>
                <w:color w:val="000000"/>
              </w:rPr>
              <w:t>rights;</w:t>
            </w:r>
            <w:proofErr w:type="gramEnd"/>
          </w:p>
          <w:p w14:paraId="41E87C5B" w14:textId="6D81B5AC" w:rsidR="00F47FDE" w:rsidRPr="00876122" w:rsidRDefault="00F47FDE" w:rsidP="00EC0AFD">
            <w:pPr>
              <w:numPr>
                <w:ilvl w:val="0"/>
                <w:numId w:val="13"/>
              </w:numPr>
              <w:shd w:val="clear" w:color="auto" w:fill="FFFFFF"/>
              <w:tabs>
                <w:tab w:val="left" w:pos="835"/>
              </w:tabs>
              <w:spacing w:before="0" w:after="0"/>
              <w:rPr>
                <w:color w:val="000000"/>
              </w:rPr>
            </w:pPr>
            <w:r w:rsidRPr="00876122">
              <w:rPr>
                <w:color w:val="000000"/>
              </w:rPr>
              <w:t>Enhanced compatibility of the national legal framework</w:t>
            </w:r>
            <w:r w:rsidR="00514EC8">
              <w:rPr>
                <w:color w:val="000000"/>
              </w:rPr>
              <w:t>s</w:t>
            </w:r>
            <w:r w:rsidRPr="00876122">
              <w:rPr>
                <w:color w:val="000000"/>
              </w:rPr>
              <w:t xml:space="preserve"> and regulations</w:t>
            </w:r>
            <w:r w:rsidR="00EF6EFC">
              <w:rPr>
                <w:color w:val="000000"/>
              </w:rPr>
              <w:t xml:space="preserve"> </w:t>
            </w:r>
            <w:r w:rsidR="00A53E8D">
              <w:rPr>
                <w:color w:val="000000"/>
              </w:rPr>
              <w:t>on</w:t>
            </w:r>
            <w:r w:rsidR="00F81784">
              <w:rPr>
                <w:color w:val="000000"/>
              </w:rPr>
              <w:t xml:space="preserve"> </w:t>
            </w:r>
            <w:r w:rsidRPr="00876122">
              <w:rPr>
                <w:color w:val="000000"/>
              </w:rPr>
              <w:t>the rights of persons suspected or accused in criminal proceedings with</w:t>
            </w:r>
            <w:r w:rsidR="00AA46B4">
              <w:rPr>
                <w:color w:val="000000"/>
              </w:rPr>
              <w:t xml:space="preserve"> the</w:t>
            </w:r>
            <w:r w:rsidRPr="00876122">
              <w:rPr>
                <w:color w:val="000000"/>
              </w:rPr>
              <w:t xml:space="preserve"> </w:t>
            </w:r>
            <w:r w:rsidR="004266C9">
              <w:rPr>
                <w:color w:val="000000"/>
              </w:rPr>
              <w:t xml:space="preserve">relevant </w:t>
            </w:r>
            <w:r w:rsidRPr="00876122">
              <w:rPr>
                <w:color w:val="000000"/>
              </w:rPr>
              <w:t>U</w:t>
            </w:r>
            <w:r w:rsidR="00DF6207">
              <w:rPr>
                <w:color w:val="000000"/>
              </w:rPr>
              <w:t>nion</w:t>
            </w:r>
            <w:r w:rsidRPr="00876122">
              <w:rPr>
                <w:color w:val="000000"/>
              </w:rPr>
              <w:t xml:space="preserve"> </w:t>
            </w:r>
            <w:proofErr w:type="gramStart"/>
            <w:r w:rsidR="00876122">
              <w:rPr>
                <w:i/>
                <w:color w:val="000000"/>
              </w:rPr>
              <w:t>acquis</w:t>
            </w:r>
            <w:r w:rsidRPr="00876122">
              <w:rPr>
                <w:color w:val="000000"/>
              </w:rPr>
              <w:t>;</w:t>
            </w:r>
            <w:proofErr w:type="gramEnd"/>
          </w:p>
          <w:p w14:paraId="0EF77E56" w14:textId="02193CB0" w:rsidR="00F47FDE" w:rsidRPr="00B040B6" w:rsidRDefault="00F47FDE" w:rsidP="00EC0AFD">
            <w:pPr>
              <w:numPr>
                <w:ilvl w:val="0"/>
                <w:numId w:val="13"/>
              </w:numPr>
              <w:shd w:val="clear" w:color="auto" w:fill="FFFFFF"/>
              <w:tabs>
                <w:tab w:val="left" w:pos="835"/>
              </w:tabs>
              <w:spacing w:before="0" w:after="0"/>
              <w:rPr>
                <w:color w:val="000000"/>
              </w:rPr>
            </w:pPr>
            <w:r w:rsidRPr="00B040B6">
              <w:rPr>
                <w:color w:val="000000"/>
              </w:rPr>
              <w:t xml:space="preserve">Identification of remaining challenges and/or developments in the field of procedural rights and safeguards for suspects and accused persons which would merit </w:t>
            </w:r>
            <w:r w:rsidR="004266C9">
              <w:rPr>
                <w:color w:val="000000"/>
              </w:rPr>
              <w:t xml:space="preserve">to be addressed in future amendments </w:t>
            </w:r>
            <w:r w:rsidRPr="00B040B6">
              <w:rPr>
                <w:color w:val="000000"/>
              </w:rPr>
              <w:t>of the U</w:t>
            </w:r>
            <w:r w:rsidR="00DF6207">
              <w:rPr>
                <w:color w:val="000000"/>
              </w:rPr>
              <w:t>nion</w:t>
            </w:r>
            <w:r w:rsidRPr="00B040B6">
              <w:rPr>
                <w:color w:val="000000"/>
              </w:rPr>
              <w:t xml:space="preserve"> </w:t>
            </w:r>
            <w:r w:rsidR="00876122" w:rsidRPr="00B040B6">
              <w:rPr>
                <w:i/>
                <w:color w:val="000000"/>
              </w:rPr>
              <w:t>acquis</w:t>
            </w:r>
            <w:r w:rsidRPr="00B040B6">
              <w:rPr>
                <w:color w:val="000000"/>
              </w:rPr>
              <w:t>.</w:t>
            </w:r>
          </w:p>
          <w:p w14:paraId="47B66376" w14:textId="77777777" w:rsidR="00F47FDE" w:rsidRPr="00876122" w:rsidRDefault="00F47FDE" w:rsidP="00F47FDE">
            <w:pPr>
              <w:shd w:val="clear" w:color="auto" w:fill="FFFFFF"/>
              <w:tabs>
                <w:tab w:val="left" w:pos="835"/>
              </w:tabs>
              <w:spacing w:before="0" w:after="0"/>
              <w:rPr>
                <w:color w:val="000000"/>
              </w:rPr>
            </w:pPr>
          </w:p>
          <w:p w14:paraId="3B1284E0" w14:textId="1D39E5EF" w:rsidR="00F47FDE" w:rsidRPr="00876122" w:rsidRDefault="00F47FDE" w:rsidP="00F47FDE">
            <w:pPr>
              <w:shd w:val="clear" w:color="auto" w:fill="FFFFFF"/>
              <w:tabs>
                <w:tab w:val="left" w:pos="835"/>
              </w:tabs>
              <w:spacing w:before="0" w:after="0"/>
              <w:rPr>
                <w:color w:val="000000"/>
              </w:rPr>
            </w:pPr>
            <w:r w:rsidRPr="00876122">
              <w:rPr>
                <w:color w:val="000000"/>
              </w:rPr>
              <w:t xml:space="preserve">Expected results </w:t>
            </w:r>
            <w:proofErr w:type="gramStart"/>
            <w:r w:rsidR="00CF4371">
              <w:rPr>
                <w:color w:val="000000"/>
              </w:rPr>
              <w:t>in</w:t>
            </w:r>
            <w:r w:rsidR="00CF4371" w:rsidRPr="00876122">
              <w:rPr>
                <w:color w:val="000000"/>
              </w:rPr>
              <w:t xml:space="preserve"> </w:t>
            </w:r>
            <w:r w:rsidRPr="00876122">
              <w:rPr>
                <w:color w:val="000000"/>
              </w:rPr>
              <w:t>the area of</w:t>
            </w:r>
            <w:proofErr w:type="gramEnd"/>
            <w:r w:rsidRPr="00876122">
              <w:rPr>
                <w:color w:val="000000"/>
              </w:rPr>
              <w:t xml:space="preserve"> victims’ rights are:</w:t>
            </w:r>
          </w:p>
          <w:p w14:paraId="50806B80" w14:textId="77777777" w:rsidR="00F47FDE" w:rsidRPr="00876122" w:rsidRDefault="00F47FDE" w:rsidP="00F47FDE">
            <w:pPr>
              <w:shd w:val="clear" w:color="auto" w:fill="FFFFFF"/>
              <w:spacing w:before="0" w:after="0"/>
              <w:rPr>
                <w:color w:val="000000"/>
              </w:rPr>
            </w:pPr>
          </w:p>
          <w:p w14:paraId="69A8FD71" w14:textId="7DA68593" w:rsidR="00F47FDE" w:rsidRPr="00876122" w:rsidRDefault="00F47FDE" w:rsidP="00EC0AFD">
            <w:pPr>
              <w:numPr>
                <w:ilvl w:val="0"/>
                <w:numId w:val="14"/>
              </w:numPr>
              <w:shd w:val="clear" w:color="auto" w:fill="FFFFFF"/>
              <w:tabs>
                <w:tab w:val="left" w:pos="835"/>
              </w:tabs>
              <w:spacing w:before="0" w:after="0"/>
              <w:rPr>
                <w:color w:val="000000"/>
              </w:rPr>
            </w:pPr>
            <w:r w:rsidRPr="00876122">
              <w:rPr>
                <w:color w:val="000000"/>
              </w:rPr>
              <w:t xml:space="preserve">Increased capacity of national practitioners to address issues related to the rights of victims of crime, </w:t>
            </w:r>
            <w:r w:rsidRPr="00876122">
              <w:rPr>
                <w:color w:val="000000"/>
                <w:lang w:eastAsia="en-GB"/>
              </w:rPr>
              <w:t xml:space="preserve">including in the context of digitalisation of </w:t>
            </w:r>
            <w:proofErr w:type="gramStart"/>
            <w:r w:rsidRPr="00876122">
              <w:rPr>
                <w:color w:val="000000"/>
                <w:lang w:eastAsia="en-GB"/>
              </w:rPr>
              <w:t>justice</w:t>
            </w:r>
            <w:r w:rsidRPr="00876122">
              <w:rPr>
                <w:color w:val="000000"/>
              </w:rPr>
              <w:t>;</w:t>
            </w:r>
            <w:proofErr w:type="gramEnd"/>
          </w:p>
          <w:p w14:paraId="130FC021" w14:textId="5136CBEE" w:rsidR="00F47FDE" w:rsidRPr="00876122" w:rsidRDefault="00F47FDE" w:rsidP="00EC0AFD">
            <w:pPr>
              <w:numPr>
                <w:ilvl w:val="0"/>
                <w:numId w:val="14"/>
              </w:numPr>
              <w:shd w:val="clear" w:color="auto" w:fill="FFFFFF"/>
              <w:tabs>
                <w:tab w:val="left" w:pos="835"/>
              </w:tabs>
              <w:spacing w:before="0" w:after="0"/>
              <w:rPr>
                <w:color w:val="000000"/>
              </w:rPr>
            </w:pPr>
            <w:r w:rsidRPr="00876122">
              <w:rPr>
                <w:color w:val="000000"/>
              </w:rPr>
              <w:t>Improved knowledge among national practitioners on issues related to the EU rules on compensation to victims of crime in light of the recent case</w:t>
            </w:r>
            <w:r w:rsidR="00625E84">
              <w:rPr>
                <w:color w:val="000000"/>
              </w:rPr>
              <w:t xml:space="preserve"> law</w:t>
            </w:r>
            <w:r w:rsidRPr="00876122">
              <w:rPr>
                <w:color w:val="000000"/>
              </w:rPr>
              <w:t xml:space="preserve"> </w:t>
            </w:r>
            <w:r w:rsidR="00142A87">
              <w:rPr>
                <w:color w:val="000000"/>
              </w:rPr>
              <w:t>of</w:t>
            </w:r>
            <w:r w:rsidRPr="00876122">
              <w:rPr>
                <w:color w:val="000000"/>
              </w:rPr>
              <w:t xml:space="preserve"> the </w:t>
            </w:r>
            <w:proofErr w:type="gramStart"/>
            <w:r w:rsidRPr="00876122">
              <w:rPr>
                <w:color w:val="000000"/>
              </w:rPr>
              <w:t>C</w:t>
            </w:r>
            <w:r w:rsidR="00ED306F">
              <w:rPr>
                <w:color w:val="000000"/>
              </w:rPr>
              <w:t>JEU</w:t>
            </w:r>
            <w:r w:rsidRPr="00876122">
              <w:rPr>
                <w:color w:val="000000"/>
              </w:rPr>
              <w:t>;</w:t>
            </w:r>
            <w:proofErr w:type="gramEnd"/>
          </w:p>
          <w:p w14:paraId="5E4A70ED" w14:textId="78C43E19" w:rsidR="00F47FDE" w:rsidRPr="00A01225" w:rsidRDefault="00F47FDE" w:rsidP="00EC0AFD">
            <w:pPr>
              <w:numPr>
                <w:ilvl w:val="0"/>
                <w:numId w:val="14"/>
              </w:numPr>
              <w:shd w:val="clear" w:color="auto" w:fill="FFFFFF"/>
              <w:tabs>
                <w:tab w:val="left" w:pos="835"/>
              </w:tabs>
              <w:spacing w:before="0" w:after="0"/>
              <w:rPr>
                <w:color w:val="000000"/>
              </w:rPr>
            </w:pPr>
            <w:r w:rsidRPr="00A01225">
              <w:rPr>
                <w:color w:val="000000"/>
              </w:rPr>
              <w:t>Improved cooperation among the competent national authorities, NGOs and/or professional organisations in the field of victims</w:t>
            </w:r>
            <w:r w:rsidR="00876122" w:rsidRPr="00A01225">
              <w:rPr>
                <w:color w:val="000000"/>
              </w:rPr>
              <w:t>’</w:t>
            </w:r>
            <w:r w:rsidRPr="00A01225">
              <w:rPr>
                <w:color w:val="000000"/>
              </w:rPr>
              <w:t xml:space="preserve"> rights, including for compensation in cross-border </w:t>
            </w:r>
            <w:proofErr w:type="gramStart"/>
            <w:r w:rsidRPr="00A01225">
              <w:rPr>
                <w:color w:val="000000"/>
              </w:rPr>
              <w:t>cases;</w:t>
            </w:r>
            <w:proofErr w:type="gramEnd"/>
          </w:p>
          <w:p w14:paraId="68DB241D" w14:textId="0909289C" w:rsidR="00F47FDE" w:rsidRPr="00876122" w:rsidRDefault="00F47FDE" w:rsidP="00EC0AFD">
            <w:pPr>
              <w:numPr>
                <w:ilvl w:val="0"/>
                <w:numId w:val="14"/>
              </w:numPr>
              <w:shd w:val="clear" w:color="auto" w:fill="FFFFFF"/>
              <w:tabs>
                <w:tab w:val="left" w:pos="835"/>
              </w:tabs>
              <w:spacing w:before="0" w:after="0"/>
              <w:rPr>
                <w:color w:val="000000"/>
              </w:rPr>
            </w:pPr>
            <w:r w:rsidRPr="00876122">
              <w:rPr>
                <w:color w:val="000000"/>
              </w:rPr>
              <w:t>Improved public awareness and knowledge about victims</w:t>
            </w:r>
            <w:r w:rsidR="00876122">
              <w:rPr>
                <w:color w:val="000000"/>
              </w:rPr>
              <w:t>’</w:t>
            </w:r>
            <w:r w:rsidRPr="00876122">
              <w:rPr>
                <w:color w:val="000000"/>
              </w:rPr>
              <w:t xml:space="preserve"> rights at both EU and national level (including among the most vulnerable groups</w:t>
            </w:r>
            <w:proofErr w:type="gramStart"/>
            <w:r w:rsidRPr="00876122">
              <w:rPr>
                <w:color w:val="000000"/>
              </w:rPr>
              <w:t>);</w:t>
            </w:r>
            <w:proofErr w:type="gramEnd"/>
          </w:p>
          <w:p w14:paraId="3A055B94" w14:textId="1F9737B1" w:rsidR="00F47FDE" w:rsidRPr="00876122" w:rsidRDefault="00F47FDE" w:rsidP="00EC0AFD">
            <w:pPr>
              <w:numPr>
                <w:ilvl w:val="0"/>
                <w:numId w:val="14"/>
              </w:numPr>
              <w:shd w:val="clear" w:color="auto" w:fill="FFFFFF"/>
              <w:tabs>
                <w:tab w:val="left" w:pos="835"/>
              </w:tabs>
              <w:spacing w:before="0" w:after="0"/>
              <w:rPr>
                <w:color w:val="000000"/>
              </w:rPr>
            </w:pPr>
            <w:r w:rsidRPr="00876122">
              <w:rPr>
                <w:color w:val="000000"/>
              </w:rPr>
              <w:t>Improved knowledge about specific provisions of the U</w:t>
            </w:r>
            <w:r w:rsidR="00DF6207">
              <w:rPr>
                <w:color w:val="000000"/>
              </w:rPr>
              <w:t>nion</w:t>
            </w:r>
            <w:r w:rsidRPr="00876122">
              <w:rPr>
                <w:color w:val="000000"/>
              </w:rPr>
              <w:t xml:space="preserve"> </w:t>
            </w:r>
            <w:r w:rsidR="00876122">
              <w:rPr>
                <w:i/>
                <w:color w:val="000000"/>
              </w:rPr>
              <w:t>acquis</w:t>
            </w:r>
            <w:r w:rsidRPr="00876122">
              <w:rPr>
                <w:color w:val="000000"/>
              </w:rPr>
              <w:t xml:space="preserve"> regulating issues </w:t>
            </w:r>
            <w:r w:rsidRPr="00876122">
              <w:rPr>
                <w:color w:val="000000"/>
              </w:rPr>
              <w:lastRenderedPageBreak/>
              <w:t>such as</w:t>
            </w:r>
            <w:r w:rsidR="004629BF">
              <w:rPr>
                <w:color w:val="000000"/>
              </w:rPr>
              <w:t>:</w:t>
            </w:r>
            <w:r w:rsidRPr="00876122">
              <w:rPr>
                <w:color w:val="000000"/>
              </w:rPr>
              <w:t xml:space="preserve"> </w:t>
            </w:r>
            <w:r w:rsidR="006D6B39">
              <w:rPr>
                <w:color w:val="000000"/>
              </w:rPr>
              <w:t>the ref</w:t>
            </w:r>
            <w:r w:rsidR="001224F2">
              <w:rPr>
                <w:color w:val="000000"/>
              </w:rPr>
              <w:t>erral of</w:t>
            </w:r>
            <w:r w:rsidR="006D6B39" w:rsidRPr="00876122">
              <w:rPr>
                <w:color w:val="000000"/>
              </w:rPr>
              <w:t xml:space="preserve"> </w:t>
            </w:r>
            <w:r w:rsidRPr="00876122">
              <w:rPr>
                <w:color w:val="000000"/>
              </w:rPr>
              <w:t>victims to the relevant support services</w:t>
            </w:r>
            <w:r w:rsidR="004629BF">
              <w:rPr>
                <w:color w:val="000000"/>
              </w:rPr>
              <w:t>;</w:t>
            </w:r>
            <w:r w:rsidRPr="00876122">
              <w:rPr>
                <w:color w:val="000000"/>
              </w:rPr>
              <w:t xml:space="preserve"> victims</w:t>
            </w:r>
            <w:r w:rsidR="00876122">
              <w:rPr>
                <w:color w:val="000000"/>
              </w:rPr>
              <w:t>’</w:t>
            </w:r>
            <w:r w:rsidRPr="00876122">
              <w:rPr>
                <w:color w:val="000000"/>
              </w:rPr>
              <w:t xml:space="preserve"> access to information </w:t>
            </w:r>
            <w:r w:rsidR="004629BF">
              <w:rPr>
                <w:color w:val="000000"/>
              </w:rPr>
              <w:t>on their</w:t>
            </w:r>
            <w:r w:rsidRPr="00876122">
              <w:rPr>
                <w:color w:val="000000"/>
              </w:rPr>
              <w:t xml:space="preserve"> rights</w:t>
            </w:r>
            <w:r w:rsidR="004629BF">
              <w:rPr>
                <w:color w:val="000000"/>
              </w:rPr>
              <w:t>;</w:t>
            </w:r>
            <w:r w:rsidRPr="00876122">
              <w:rPr>
                <w:color w:val="000000"/>
              </w:rPr>
              <w:t xml:space="preserve"> individual assessment of victims</w:t>
            </w:r>
            <w:r w:rsidR="00876122">
              <w:rPr>
                <w:color w:val="000000"/>
              </w:rPr>
              <w:t>’</w:t>
            </w:r>
            <w:r w:rsidRPr="00876122">
              <w:rPr>
                <w:color w:val="000000"/>
              </w:rPr>
              <w:t xml:space="preserve"> needs</w:t>
            </w:r>
            <w:r w:rsidR="004629BF">
              <w:rPr>
                <w:color w:val="000000"/>
              </w:rPr>
              <w:t>;</w:t>
            </w:r>
            <w:r w:rsidRPr="00876122">
              <w:rPr>
                <w:color w:val="000000"/>
              </w:rPr>
              <w:t xml:space="preserve"> </w:t>
            </w:r>
            <w:r w:rsidR="004629BF">
              <w:rPr>
                <w:color w:val="000000"/>
              </w:rPr>
              <w:t xml:space="preserve">and the </w:t>
            </w:r>
            <w:r w:rsidRPr="00876122">
              <w:rPr>
                <w:color w:val="000000"/>
              </w:rPr>
              <w:t xml:space="preserve">use of procedural means to protect victims during criminal trial, including </w:t>
            </w:r>
            <w:r w:rsidR="004629BF">
              <w:rPr>
                <w:color w:val="000000"/>
              </w:rPr>
              <w:t xml:space="preserve">the </w:t>
            </w:r>
            <w:r w:rsidRPr="00876122">
              <w:rPr>
                <w:color w:val="000000"/>
              </w:rPr>
              <w:t xml:space="preserve">use of remote hearings and video </w:t>
            </w:r>
            <w:proofErr w:type="gramStart"/>
            <w:r w:rsidRPr="00876122">
              <w:rPr>
                <w:color w:val="000000"/>
              </w:rPr>
              <w:t>testimonies;</w:t>
            </w:r>
            <w:proofErr w:type="gramEnd"/>
          </w:p>
          <w:p w14:paraId="7A971DF2" w14:textId="2E02192E" w:rsidR="00F47FDE" w:rsidRPr="00876122" w:rsidRDefault="00F47FDE" w:rsidP="00EC0AFD">
            <w:pPr>
              <w:numPr>
                <w:ilvl w:val="0"/>
                <w:numId w:val="14"/>
              </w:numPr>
              <w:shd w:val="clear" w:color="auto" w:fill="FFFFFF"/>
              <w:tabs>
                <w:tab w:val="left" w:pos="835"/>
              </w:tabs>
              <w:spacing w:before="0" w:after="0"/>
              <w:rPr>
                <w:color w:val="000000"/>
              </w:rPr>
            </w:pPr>
            <w:r w:rsidRPr="00876122">
              <w:rPr>
                <w:color w:val="000000"/>
                <w:lang w:eastAsia="en-GB"/>
              </w:rPr>
              <w:t>Improved knowledge about legal remedies available for victims in case of a violation of their rights</w:t>
            </w:r>
            <w:r w:rsidR="004266C9">
              <w:rPr>
                <w:color w:val="000000"/>
                <w:lang w:eastAsia="en-GB"/>
              </w:rPr>
              <w:t xml:space="preserve"> and </w:t>
            </w:r>
            <w:r w:rsidR="00A40902">
              <w:rPr>
                <w:color w:val="000000"/>
                <w:lang w:eastAsia="en-GB"/>
              </w:rPr>
              <w:t>increased knowledge</w:t>
            </w:r>
            <w:r w:rsidRPr="00876122">
              <w:rPr>
                <w:color w:val="000000"/>
                <w:lang w:eastAsia="en-GB"/>
              </w:rPr>
              <w:t xml:space="preserve"> about</w:t>
            </w:r>
            <w:r w:rsidR="00A40902">
              <w:rPr>
                <w:color w:val="000000"/>
                <w:lang w:eastAsia="en-GB"/>
              </w:rPr>
              <w:t xml:space="preserve"> the</w:t>
            </w:r>
            <w:r w:rsidRPr="00876122">
              <w:rPr>
                <w:color w:val="000000"/>
                <w:lang w:eastAsia="en-GB"/>
              </w:rPr>
              <w:t xml:space="preserve"> challenges and benefits </w:t>
            </w:r>
            <w:r w:rsidR="00220525">
              <w:rPr>
                <w:color w:val="000000"/>
                <w:lang w:eastAsia="en-GB"/>
              </w:rPr>
              <w:t>of</w:t>
            </w:r>
            <w:r w:rsidR="00FA1154">
              <w:rPr>
                <w:color w:val="000000"/>
                <w:lang w:eastAsia="en-GB"/>
              </w:rPr>
              <w:t xml:space="preserve"> </w:t>
            </w:r>
            <w:r w:rsidRPr="00876122">
              <w:rPr>
                <w:color w:val="000000"/>
                <w:lang w:eastAsia="en-GB"/>
              </w:rPr>
              <w:t>digitalisation of justice</w:t>
            </w:r>
            <w:r w:rsidR="00D74EF5">
              <w:rPr>
                <w:color w:val="000000"/>
                <w:lang w:eastAsia="en-GB"/>
              </w:rPr>
              <w:t xml:space="preserve"> for </w:t>
            </w:r>
            <w:proofErr w:type="gramStart"/>
            <w:r w:rsidR="00D74EF5">
              <w:rPr>
                <w:color w:val="000000"/>
                <w:lang w:eastAsia="en-GB"/>
              </w:rPr>
              <w:t>victims</w:t>
            </w:r>
            <w:r w:rsidR="0092317A">
              <w:rPr>
                <w:color w:val="000000"/>
                <w:lang w:eastAsia="en-GB"/>
              </w:rPr>
              <w:t>;</w:t>
            </w:r>
            <w:proofErr w:type="gramEnd"/>
          </w:p>
          <w:p w14:paraId="1264BD4F" w14:textId="218CD7D3" w:rsidR="00F47FDE" w:rsidRPr="00C819EA" w:rsidRDefault="00F47FDE" w:rsidP="00EC0AFD">
            <w:pPr>
              <w:numPr>
                <w:ilvl w:val="0"/>
                <w:numId w:val="14"/>
              </w:numPr>
              <w:shd w:val="clear" w:color="auto" w:fill="FFFFFF"/>
              <w:tabs>
                <w:tab w:val="left" w:pos="835"/>
              </w:tabs>
              <w:spacing w:before="0" w:after="0"/>
              <w:rPr>
                <w:color w:val="000000"/>
              </w:rPr>
            </w:pPr>
            <w:r w:rsidRPr="00C819EA">
              <w:rPr>
                <w:color w:val="000000"/>
              </w:rPr>
              <w:t>Enhanced compatibility of the national legal framework</w:t>
            </w:r>
            <w:r w:rsidR="004266C9">
              <w:rPr>
                <w:color w:val="000000"/>
              </w:rPr>
              <w:t>s</w:t>
            </w:r>
            <w:r w:rsidRPr="00C819EA">
              <w:rPr>
                <w:color w:val="000000"/>
              </w:rPr>
              <w:t xml:space="preserve"> and administrative practice</w:t>
            </w:r>
            <w:r w:rsidR="00942BC2">
              <w:rPr>
                <w:color w:val="000000"/>
              </w:rPr>
              <w:t>s</w:t>
            </w:r>
            <w:r w:rsidRPr="00C819EA">
              <w:rPr>
                <w:color w:val="000000"/>
              </w:rPr>
              <w:t xml:space="preserve"> </w:t>
            </w:r>
            <w:r w:rsidR="004266C9">
              <w:rPr>
                <w:color w:val="000000"/>
              </w:rPr>
              <w:t>on</w:t>
            </w:r>
            <w:r w:rsidRPr="00C819EA">
              <w:rPr>
                <w:color w:val="000000"/>
              </w:rPr>
              <w:t xml:space="preserve"> victims</w:t>
            </w:r>
            <w:r w:rsidR="00876122" w:rsidRPr="00C819EA">
              <w:rPr>
                <w:color w:val="000000"/>
              </w:rPr>
              <w:t>’</w:t>
            </w:r>
            <w:r w:rsidRPr="00C819EA">
              <w:rPr>
                <w:color w:val="000000"/>
              </w:rPr>
              <w:t xml:space="preserve"> rights with the relevant U</w:t>
            </w:r>
            <w:r w:rsidR="00DF6207">
              <w:rPr>
                <w:color w:val="000000"/>
              </w:rPr>
              <w:t>nion</w:t>
            </w:r>
            <w:r w:rsidRPr="00C819EA">
              <w:rPr>
                <w:color w:val="000000"/>
              </w:rPr>
              <w:t xml:space="preserve"> </w:t>
            </w:r>
            <w:proofErr w:type="gramStart"/>
            <w:r w:rsidR="00876122" w:rsidRPr="00C819EA">
              <w:rPr>
                <w:i/>
                <w:color w:val="000000"/>
              </w:rPr>
              <w:t>acquis</w:t>
            </w:r>
            <w:r w:rsidRPr="00C819EA">
              <w:rPr>
                <w:color w:val="000000"/>
              </w:rPr>
              <w:t>;</w:t>
            </w:r>
            <w:proofErr w:type="gramEnd"/>
          </w:p>
          <w:p w14:paraId="3DBF44DC" w14:textId="33407286" w:rsidR="00F47FDE" w:rsidRPr="00876122" w:rsidRDefault="00F47FDE" w:rsidP="00EC0AFD">
            <w:pPr>
              <w:numPr>
                <w:ilvl w:val="0"/>
                <w:numId w:val="14"/>
              </w:numPr>
              <w:shd w:val="clear" w:color="auto" w:fill="FFFFFF"/>
              <w:tabs>
                <w:tab w:val="left" w:pos="835"/>
              </w:tabs>
              <w:spacing w:before="0" w:after="0"/>
              <w:rPr>
                <w:color w:val="000000"/>
              </w:rPr>
            </w:pPr>
            <w:r w:rsidRPr="00876122">
              <w:rPr>
                <w:color w:val="000000"/>
              </w:rPr>
              <w:t xml:space="preserve">Improved support services </w:t>
            </w:r>
            <w:r w:rsidR="004D7042">
              <w:rPr>
                <w:color w:val="000000"/>
              </w:rPr>
              <w:t>for</w:t>
            </w:r>
            <w:r w:rsidRPr="00876122">
              <w:rPr>
                <w:color w:val="000000"/>
              </w:rPr>
              <w:t xml:space="preserve"> </w:t>
            </w:r>
            <w:proofErr w:type="gramStart"/>
            <w:r w:rsidRPr="00876122">
              <w:rPr>
                <w:color w:val="000000"/>
              </w:rPr>
              <w:t>victims;</w:t>
            </w:r>
            <w:proofErr w:type="gramEnd"/>
          </w:p>
          <w:p w14:paraId="6DC1787F" w14:textId="386860EA" w:rsidR="00F47FDE" w:rsidRPr="00876122" w:rsidRDefault="00F47FDE" w:rsidP="00EC0AFD">
            <w:pPr>
              <w:numPr>
                <w:ilvl w:val="0"/>
                <w:numId w:val="14"/>
              </w:numPr>
              <w:shd w:val="clear" w:color="auto" w:fill="FFFFFF"/>
              <w:tabs>
                <w:tab w:val="left" w:pos="835"/>
              </w:tabs>
              <w:spacing w:before="0" w:after="0"/>
              <w:rPr>
                <w:color w:val="000000"/>
              </w:rPr>
            </w:pPr>
            <w:r w:rsidRPr="0030473D">
              <w:rPr>
                <w:color w:val="000000"/>
              </w:rPr>
              <w:t xml:space="preserve">Increased awareness of the </w:t>
            </w:r>
            <w:r w:rsidR="00ED3638" w:rsidRPr="006D0DEC">
              <w:rPr>
                <w:color w:val="000000"/>
              </w:rPr>
              <w:t>complexities</w:t>
            </w:r>
            <w:r w:rsidR="00ED3638" w:rsidRPr="0030473D">
              <w:rPr>
                <w:color w:val="000000"/>
              </w:rPr>
              <w:t xml:space="preserve"> </w:t>
            </w:r>
            <w:r w:rsidRPr="0030473D">
              <w:rPr>
                <w:color w:val="000000"/>
              </w:rPr>
              <w:t xml:space="preserve">of </w:t>
            </w:r>
            <w:r w:rsidR="009D1937" w:rsidRPr="006D0DEC">
              <w:rPr>
                <w:color w:val="000000"/>
              </w:rPr>
              <w:t xml:space="preserve">the </w:t>
            </w:r>
            <w:r w:rsidRPr="0030473D">
              <w:rPr>
                <w:color w:val="000000"/>
              </w:rPr>
              <w:t>relation</w:t>
            </w:r>
            <w:r w:rsidR="00170114">
              <w:rPr>
                <w:color w:val="000000"/>
              </w:rPr>
              <w:t>ship</w:t>
            </w:r>
            <w:r w:rsidRPr="0030473D">
              <w:rPr>
                <w:color w:val="000000"/>
              </w:rPr>
              <w:t xml:space="preserve"> between victims and offenders</w:t>
            </w:r>
            <w:r w:rsidR="004266C9">
              <w:rPr>
                <w:color w:val="000000"/>
              </w:rPr>
              <w:t>,</w:t>
            </w:r>
            <w:r w:rsidRPr="0030473D">
              <w:rPr>
                <w:color w:val="000000"/>
              </w:rPr>
              <w:t xml:space="preserve"> including </w:t>
            </w:r>
            <w:r w:rsidRPr="00750BDB">
              <w:rPr>
                <w:color w:val="000000"/>
              </w:rPr>
              <w:t xml:space="preserve">actions aimed at improving victims’ access to justice and decreased </w:t>
            </w:r>
            <w:r w:rsidRPr="00750BDB">
              <w:rPr>
                <w:color w:val="000000"/>
                <w:lang w:bidi="en-US"/>
              </w:rPr>
              <w:t>re</w:t>
            </w:r>
            <w:r w:rsidRPr="00750BDB">
              <w:rPr>
                <w:color w:val="000000"/>
                <w:lang w:bidi="en-US"/>
              </w:rPr>
              <w:softHyphen/>
              <w:t>offending</w:t>
            </w:r>
            <w:r w:rsidRPr="0030473D">
              <w:rPr>
                <w:color w:val="000000"/>
              </w:rPr>
              <w:t xml:space="preserve"> via tools such as restorative justice.</w:t>
            </w:r>
          </w:p>
        </w:tc>
      </w:tr>
    </w:tbl>
    <w:p w14:paraId="476D9C64" w14:textId="77777777" w:rsidR="00F47FDE" w:rsidRPr="00876122" w:rsidRDefault="00F47FDE" w:rsidP="00FA563B">
      <w:pPr>
        <w:widowControl w:val="0"/>
        <w:shd w:val="clear" w:color="auto" w:fill="FFFFFF"/>
        <w:spacing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lastRenderedPageBreak/>
        <w:t>Implementation</w:t>
      </w:r>
    </w:p>
    <w:p w14:paraId="5315797A"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Direct management by DG JUST</w:t>
      </w:r>
    </w:p>
    <w:p w14:paraId="79E20C4B" w14:textId="77777777" w:rsidR="00F47FDE" w:rsidRPr="00876122" w:rsidRDefault="00F47FDE" w:rsidP="00F47FDE">
      <w:pPr>
        <w:keepNext/>
        <w:keepLines/>
        <w:widowControl w:val="0"/>
        <w:shd w:val="clear" w:color="auto" w:fill="FFFFFF"/>
        <w:tabs>
          <w:tab w:val="left" w:pos="816"/>
        </w:tabs>
        <w:spacing w:before="0"/>
        <w:outlineLvl w:val="0"/>
        <w:rPr>
          <w:rFonts w:eastAsia="Times New Roman"/>
          <w:b/>
          <w:bCs/>
          <w:color w:val="000000"/>
          <w:szCs w:val="24"/>
          <w:lang w:eastAsia="bg-BG" w:bidi="bg-BG"/>
        </w:rPr>
      </w:pPr>
      <w:bookmarkStart w:id="36" w:name="bookmark82"/>
      <w:bookmarkStart w:id="37" w:name="bookmark81"/>
    </w:p>
    <w:p w14:paraId="6FFE8451" w14:textId="03846B34" w:rsidR="00F47FDE" w:rsidRPr="00876122" w:rsidRDefault="00F47FDE" w:rsidP="00FA563B">
      <w:pPr>
        <w:pStyle w:val="Heading1"/>
        <w:rPr>
          <w:rFonts w:eastAsia="Times New Roman"/>
          <w:lang w:eastAsia="hr-HR" w:bidi="hr-HR"/>
        </w:rPr>
      </w:pPr>
      <w:bookmarkStart w:id="38" w:name="_Toc205461087"/>
      <w:r w:rsidRPr="00876122">
        <w:rPr>
          <w:rFonts w:eastAsia="Times New Roman"/>
          <w:lang w:eastAsia="hr-HR" w:bidi="hr-HR"/>
        </w:rPr>
        <w:t>Procurement</w:t>
      </w:r>
      <w:bookmarkEnd w:id="36"/>
      <w:bookmarkEnd w:id="37"/>
      <w:bookmarkEnd w:id="38"/>
    </w:p>
    <w:p w14:paraId="122706FF" w14:textId="0140EBC8" w:rsidR="00F47FDE" w:rsidRPr="00876122" w:rsidRDefault="00F47FDE" w:rsidP="00F47FDE">
      <w:pPr>
        <w:widowControl w:val="0"/>
        <w:shd w:val="clear" w:color="auto" w:fill="FFFFFF"/>
        <w:spacing w:before="0" w:after="500"/>
        <w:rPr>
          <w:rFonts w:eastAsia="Times New Roman"/>
          <w:color w:val="000000"/>
          <w:szCs w:val="24"/>
          <w:lang w:eastAsia="hr-HR" w:bidi="hr-HR"/>
        </w:rPr>
      </w:pPr>
      <w:r w:rsidRPr="00876122">
        <w:rPr>
          <w:rFonts w:eastAsia="Times New Roman"/>
          <w:color w:val="000000"/>
          <w:szCs w:val="24"/>
          <w:lang w:eastAsia="hr-HR" w:bidi="hr-HR"/>
        </w:rPr>
        <w:t xml:space="preserve">The global budgetary envelope reserved for procurement contracts </w:t>
      </w:r>
      <w:r w:rsidRPr="00A7599C">
        <w:rPr>
          <w:rFonts w:eastAsia="Times New Roman"/>
          <w:color w:val="000000"/>
          <w:szCs w:val="24"/>
          <w:lang w:eastAsia="hr-HR" w:bidi="hr-HR"/>
        </w:rPr>
        <w:t xml:space="preserve">is </w:t>
      </w:r>
      <w:r w:rsidR="00625E84">
        <w:rPr>
          <w:rFonts w:eastAsia="Times New Roman"/>
          <w:color w:val="000000"/>
          <w:szCs w:val="24"/>
          <w:lang w:eastAsia="bg-BG" w:bidi="bg-BG"/>
        </w:rPr>
        <w:t xml:space="preserve">EUR </w:t>
      </w:r>
      <w:r w:rsidR="000E3BA7" w:rsidRPr="00A7599C">
        <w:rPr>
          <w:rFonts w:eastAsia="Times New Roman"/>
          <w:color w:val="000000"/>
          <w:szCs w:val="24"/>
          <w:lang w:eastAsia="bg-BG" w:bidi="bg-BG"/>
        </w:rPr>
        <w:t>8</w:t>
      </w:r>
      <w:r w:rsidR="00876122">
        <w:rPr>
          <w:rFonts w:eastAsia="Times New Roman"/>
          <w:color w:val="000000"/>
          <w:szCs w:val="24"/>
          <w:lang w:eastAsia="bg-BG" w:bidi="bg-BG"/>
        </w:rPr>
        <w:t> </w:t>
      </w:r>
      <w:r w:rsidR="000E3BA7" w:rsidRPr="00876122">
        <w:rPr>
          <w:rFonts w:eastAsia="Times New Roman"/>
          <w:color w:val="000000"/>
          <w:szCs w:val="24"/>
          <w:lang w:eastAsia="bg-BG" w:bidi="bg-BG"/>
        </w:rPr>
        <w:t>261</w:t>
      </w:r>
      <w:r w:rsidRPr="00876122">
        <w:rPr>
          <w:rFonts w:eastAsia="Times New Roman"/>
          <w:color w:val="000000"/>
          <w:szCs w:val="24"/>
          <w:lang w:eastAsia="bg-BG" w:bidi="bg-BG"/>
        </w:rPr>
        <w:t xml:space="preserve"> 500 </w:t>
      </w:r>
      <w:r w:rsidRPr="00876122">
        <w:rPr>
          <w:rFonts w:eastAsia="Times New Roman"/>
          <w:color w:val="000000"/>
          <w:szCs w:val="24"/>
          <w:lang w:eastAsia="hr-HR" w:bidi="hr-HR"/>
        </w:rPr>
        <w:t xml:space="preserve">for </w:t>
      </w:r>
      <w:r w:rsidRPr="00876122">
        <w:rPr>
          <w:rFonts w:eastAsia="Times New Roman"/>
          <w:color w:val="000000"/>
          <w:szCs w:val="24"/>
          <w:lang w:eastAsia="bg-BG" w:bidi="bg-BG"/>
        </w:rPr>
        <w:t>2026</w:t>
      </w:r>
      <w:r w:rsidRPr="00876122">
        <w:rPr>
          <w:rFonts w:eastAsia="Times New Roman"/>
          <w:color w:val="000000"/>
          <w:szCs w:val="24"/>
          <w:lang w:eastAsia="hr-HR" w:bidi="hr-HR"/>
        </w:rPr>
        <w:t xml:space="preserve"> and </w:t>
      </w:r>
      <w:r w:rsidR="00625E84">
        <w:rPr>
          <w:rFonts w:eastAsia="Times New Roman"/>
          <w:color w:val="000000"/>
          <w:szCs w:val="24"/>
          <w:lang w:eastAsia="bg-BG" w:bidi="bg-BG"/>
        </w:rPr>
        <w:t xml:space="preserve">EUR </w:t>
      </w:r>
      <w:r w:rsidR="000E3BA7" w:rsidRPr="00876122">
        <w:rPr>
          <w:rFonts w:eastAsia="Times New Roman"/>
          <w:color w:val="000000"/>
          <w:szCs w:val="24"/>
          <w:lang w:eastAsia="bg-BG" w:bidi="bg-BG"/>
        </w:rPr>
        <w:t>8</w:t>
      </w:r>
      <w:r w:rsidR="00876122">
        <w:rPr>
          <w:rFonts w:eastAsia="Times New Roman"/>
          <w:color w:val="000000"/>
          <w:szCs w:val="24"/>
          <w:lang w:eastAsia="bg-BG" w:bidi="bg-BG"/>
        </w:rPr>
        <w:t> </w:t>
      </w:r>
      <w:r w:rsidR="000E3BA7" w:rsidRPr="00876122">
        <w:rPr>
          <w:rFonts w:eastAsia="Times New Roman"/>
          <w:color w:val="000000"/>
          <w:szCs w:val="24"/>
          <w:lang w:eastAsia="bg-BG" w:bidi="bg-BG"/>
        </w:rPr>
        <w:t>61</w:t>
      </w:r>
      <w:r w:rsidRPr="00876122">
        <w:rPr>
          <w:rFonts w:eastAsia="Times New Roman"/>
          <w:color w:val="000000"/>
          <w:szCs w:val="24"/>
          <w:lang w:eastAsia="bg-BG" w:bidi="bg-BG"/>
        </w:rPr>
        <w:t xml:space="preserve">8 500 </w:t>
      </w:r>
      <w:r w:rsidRPr="00876122">
        <w:rPr>
          <w:rFonts w:eastAsia="Times New Roman"/>
          <w:color w:val="000000"/>
          <w:szCs w:val="24"/>
          <w:lang w:eastAsia="hr-HR" w:bidi="hr-HR"/>
        </w:rPr>
        <w:t xml:space="preserve">for </w:t>
      </w:r>
      <w:r w:rsidRPr="00876122">
        <w:rPr>
          <w:rFonts w:eastAsia="Times New Roman"/>
          <w:color w:val="000000"/>
          <w:szCs w:val="24"/>
          <w:lang w:eastAsia="bg-BG" w:bidi="bg-BG"/>
        </w:rPr>
        <w:t>2027.</w:t>
      </w:r>
    </w:p>
    <w:p w14:paraId="7E4429F1" w14:textId="63946828" w:rsidR="00F47FDE" w:rsidRPr="00876122" w:rsidRDefault="00F47FDE" w:rsidP="00FA563B">
      <w:pPr>
        <w:pStyle w:val="Heading2"/>
        <w:rPr>
          <w:rFonts w:eastAsia="Times New Roman"/>
          <w:lang w:eastAsia="hr-HR" w:bidi="hr-HR"/>
        </w:rPr>
      </w:pPr>
      <w:bookmarkStart w:id="39" w:name="bookmark85"/>
      <w:bookmarkStart w:id="40" w:name="bookmark84"/>
      <w:bookmarkStart w:id="41" w:name="_Toc205461088"/>
      <w:r w:rsidRPr="00876122">
        <w:rPr>
          <w:rFonts w:eastAsia="Times New Roman"/>
          <w:lang w:eastAsia="hr-HR" w:bidi="hr-HR"/>
        </w:rPr>
        <w:t>Procurement activities under Specific objective: judicial cooperation in civil and criminal matters</w:t>
      </w:r>
      <w:bookmarkEnd w:id="39"/>
      <w:bookmarkEnd w:id="40"/>
      <w:bookmarkEnd w:id="41"/>
    </w:p>
    <w:p w14:paraId="180A036E" w14:textId="77777777" w:rsidR="00F47FDE" w:rsidRPr="00876122" w:rsidRDefault="00F47FDE" w:rsidP="00F47FDE">
      <w:pPr>
        <w:widowControl w:val="0"/>
        <w:shd w:val="clear" w:color="auto" w:fill="FFFFFF"/>
        <w:spacing w:before="0" w:after="240" w:line="290"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tbl>
      <w:tblPr>
        <w:tblStyle w:val="TableGrid"/>
        <w:tblW w:w="0" w:type="auto"/>
        <w:tblLook w:val="04A0" w:firstRow="1" w:lastRow="0" w:firstColumn="1" w:lastColumn="0" w:noHBand="0" w:noVBand="1"/>
      </w:tblPr>
      <w:tblGrid>
        <w:gridCol w:w="9464"/>
      </w:tblGrid>
      <w:tr w:rsidR="00F47FDE" w:rsidRPr="00876122" w14:paraId="0F47E333" w14:textId="77777777" w:rsidTr="009C2D89">
        <w:tc>
          <w:tcPr>
            <w:tcW w:w="9464" w:type="dxa"/>
          </w:tcPr>
          <w:p w14:paraId="4D31EC6D" w14:textId="04BA2569" w:rsidR="00F47FDE" w:rsidRPr="00876122" w:rsidRDefault="00F47FDE" w:rsidP="006D0DEC">
            <w:pPr>
              <w:shd w:val="clear" w:color="auto" w:fill="FFFFFF"/>
              <w:spacing w:before="0" w:after="0"/>
              <w:ind w:firstLine="180"/>
              <w:rPr>
                <w:color w:val="000000"/>
              </w:rPr>
            </w:pPr>
            <w:r w:rsidRPr="00876122">
              <w:rPr>
                <w:color w:val="000000"/>
              </w:rPr>
              <w:t>Art</w:t>
            </w:r>
            <w:r w:rsidR="009F523E">
              <w:rPr>
                <w:color w:val="000000"/>
              </w:rPr>
              <w:t>icle</w:t>
            </w:r>
            <w:r w:rsidR="00876122">
              <w:rPr>
                <w:color w:val="000000"/>
              </w:rPr>
              <w:t> </w:t>
            </w:r>
            <w:r w:rsidRPr="00876122">
              <w:rPr>
                <w:color w:val="000000"/>
              </w:rPr>
              <w:t xml:space="preserve">3(2)(a) </w:t>
            </w:r>
            <w:r w:rsidR="004266C9">
              <w:rPr>
                <w:color w:val="000000"/>
              </w:rPr>
              <w:t xml:space="preserve">of </w:t>
            </w:r>
            <w:r w:rsidRPr="00876122">
              <w:rPr>
                <w:color w:val="000000"/>
              </w:rPr>
              <w:t xml:space="preserve">Regulation (EU) </w:t>
            </w:r>
            <w:r w:rsidRPr="00876122">
              <w:rPr>
                <w:color w:val="000000"/>
                <w:lang w:eastAsia="bg-BG" w:bidi="bg-BG"/>
              </w:rPr>
              <w:t>2021/693</w:t>
            </w:r>
          </w:p>
        </w:tc>
      </w:tr>
    </w:tbl>
    <w:p w14:paraId="646C97D6" w14:textId="77777777" w:rsidR="00F47FDE" w:rsidRPr="00876122" w:rsidRDefault="00F47FDE" w:rsidP="00FA563B">
      <w:pPr>
        <w:widowControl w:val="0"/>
        <w:shd w:val="clear" w:color="auto" w:fill="FFFFFF"/>
        <w:spacing w:after="240" w:line="290"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3509DE7C"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ind w:firstLine="18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01: </w:t>
      </w:r>
      <w:r w:rsidRPr="00876122">
        <w:rPr>
          <w:rFonts w:eastAsia="Times New Roman"/>
          <w:color w:val="000000"/>
          <w:szCs w:val="24"/>
          <w:lang w:eastAsia="hr-HR" w:bidi="hr-HR"/>
        </w:rPr>
        <w:t>Promoting judicial cooperation</w:t>
      </w:r>
    </w:p>
    <w:p w14:paraId="56A90A8B" w14:textId="77777777" w:rsidR="00F47FDE" w:rsidRPr="00876122" w:rsidRDefault="00F47FDE" w:rsidP="00F47FDE">
      <w:pPr>
        <w:widowControl w:val="0"/>
        <w:shd w:val="clear" w:color="auto" w:fill="FFFFFF"/>
        <w:spacing w:before="0" w:after="240"/>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2E066BFC" w14:textId="1F8F89DD" w:rsidR="00F47FDE" w:rsidRPr="00876122" w:rsidRDefault="00F47FDE" w:rsidP="00F47FDE">
      <w:pPr>
        <w:widowControl w:val="0"/>
        <w:pBdr>
          <w:top w:val="single" w:sz="4" w:space="0" w:color="auto"/>
          <w:left w:val="single" w:sz="4" w:space="8" w:color="auto"/>
          <w:bottom w:val="single" w:sz="4" w:space="0" w:color="auto"/>
          <w:right w:val="single" w:sz="4" w:space="0" w:color="auto"/>
        </w:pBdr>
        <w:shd w:val="clear" w:color="auto" w:fill="FFFFFF"/>
        <w:spacing w:before="0" w:after="300"/>
        <w:ind w:left="180"/>
        <w:rPr>
          <w:rFonts w:eastAsia="Times New Roman"/>
          <w:color w:val="000000"/>
          <w:szCs w:val="24"/>
          <w:lang w:eastAsia="hr-HR" w:bidi="hr-HR"/>
        </w:rPr>
      </w:pPr>
      <w:r w:rsidRPr="00876122">
        <w:rPr>
          <w:rFonts w:eastAsia="Times New Roman"/>
          <w:color w:val="000000"/>
          <w:szCs w:val="24"/>
          <w:lang w:eastAsia="hr-HR" w:bidi="hr-HR"/>
        </w:rPr>
        <w:t>Facilitate and support judicial cooperation in civil and criminal matters, and promote the rule of law, independence and impartiality of the judiciary, including by supporting the efforts to improve the effectiveness of national justice systems, and the effective enforcement of decisions.</w:t>
      </w:r>
    </w:p>
    <w:p w14:paraId="47697531"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 of the activities and contracts</w:t>
      </w:r>
    </w:p>
    <w:p w14:paraId="33C1C00E" w14:textId="7439DE25" w:rsidR="00F47FDE" w:rsidRPr="008962C8"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In </w:t>
      </w:r>
      <w:r w:rsidRPr="00876122">
        <w:rPr>
          <w:rFonts w:eastAsia="Times New Roman"/>
          <w:color w:val="000000"/>
          <w:szCs w:val="24"/>
          <w:lang w:eastAsia="bg-BG" w:bidi="bg-BG"/>
        </w:rPr>
        <w:t xml:space="preserve">2026 and 2027, </w:t>
      </w:r>
      <w:r w:rsidRPr="00876122">
        <w:rPr>
          <w:rFonts w:eastAsia="Times New Roman"/>
          <w:color w:val="000000"/>
          <w:szCs w:val="24"/>
          <w:lang w:eastAsia="hr-HR" w:bidi="hr-HR"/>
        </w:rPr>
        <w:t xml:space="preserve">the Commission intends to undertake actions through contracts following public procurement (open calls for tenders and framework contracts). The types of activities funded may include, for example, the following: </w:t>
      </w:r>
      <w:r w:rsidR="00A9030A">
        <w:rPr>
          <w:rFonts w:eastAsia="Times New Roman"/>
          <w:color w:val="000000"/>
          <w:szCs w:val="24"/>
          <w:lang w:eastAsia="hr-HR" w:bidi="hr-HR"/>
        </w:rPr>
        <w:t>(</w:t>
      </w:r>
      <w:proofErr w:type="spellStart"/>
      <w:r w:rsidR="00A9030A">
        <w:rPr>
          <w:rFonts w:eastAsia="Times New Roman"/>
          <w:color w:val="000000"/>
          <w:szCs w:val="24"/>
          <w:lang w:eastAsia="hr-HR" w:bidi="hr-HR"/>
        </w:rPr>
        <w:t>i</w:t>
      </w:r>
      <w:proofErr w:type="spellEnd"/>
      <w:r w:rsidR="00A9030A">
        <w:rPr>
          <w:rFonts w:eastAsia="Times New Roman"/>
          <w:color w:val="000000"/>
          <w:szCs w:val="24"/>
          <w:lang w:eastAsia="hr-HR" w:bidi="hr-HR"/>
        </w:rPr>
        <w:t xml:space="preserve">) </w:t>
      </w:r>
      <w:r w:rsidRPr="00876122">
        <w:rPr>
          <w:rFonts w:eastAsia="Times New Roman"/>
          <w:color w:val="000000"/>
          <w:szCs w:val="24"/>
          <w:lang w:eastAsia="hr-HR" w:bidi="hr-HR"/>
        </w:rPr>
        <w:t>conferences, expert meetings, meetings of committees in support of implementing U</w:t>
      </w:r>
      <w:r w:rsidR="00DF6207">
        <w:rPr>
          <w:rFonts w:eastAsia="Times New Roman"/>
          <w:color w:val="000000"/>
          <w:szCs w:val="24"/>
          <w:lang w:eastAsia="hr-HR" w:bidi="hr-HR"/>
        </w:rPr>
        <w:t>nion</w:t>
      </w:r>
      <w:r w:rsidRPr="00876122">
        <w:rPr>
          <w:rFonts w:eastAsia="Times New Roman"/>
          <w:color w:val="000000"/>
          <w:szCs w:val="24"/>
          <w:lang w:eastAsia="hr-HR" w:bidi="hr-HR"/>
        </w:rPr>
        <w:t xml:space="preserve"> legislative acts, seminars, communication activities;</w:t>
      </w:r>
      <w:r w:rsidR="00A9030A">
        <w:rPr>
          <w:rFonts w:eastAsia="Times New Roman"/>
          <w:color w:val="000000"/>
          <w:szCs w:val="24"/>
          <w:lang w:eastAsia="hr-HR" w:bidi="hr-HR"/>
        </w:rPr>
        <w:t xml:space="preserve"> (ii)</w:t>
      </w:r>
      <w:r w:rsidRPr="00876122">
        <w:rPr>
          <w:rFonts w:eastAsia="Times New Roman"/>
          <w:color w:val="000000"/>
          <w:szCs w:val="24"/>
          <w:lang w:eastAsia="hr-HR" w:bidi="hr-HR"/>
        </w:rPr>
        <w:t xml:space="preserve"> development of training material</w:t>
      </w:r>
      <w:r w:rsidR="0016163D">
        <w:rPr>
          <w:rFonts w:eastAsia="Times New Roman"/>
          <w:color w:val="000000"/>
          <w:szCs w:val="24"/>
          <w:lang w:eastAsia="hr-HR" w:bidi="hr-HR"/>
        </w:rPr>
        <w:t>s</w:t>
      </w:r>
      <w:r w:rsidRPr="00876122">
        <w:rPr>
          <w:rFonts w:eastAsia="Times New Roman"/>
          <w:color w:val="000000"/>
          <w:szCs w:val="24"/>
          <w:lang w:eastAsia="hr-HR" w:bidi="hr-HR"/>
        </w:rPr>
        <w:t xml:space="preserve"> and development and maintenance of IT platforms and systems;</w:t>
      </w:r>
      <w:r w:rsidR="00A9030A">
        <w:rPr>
          <w:rFonts w:eastAsia="Times New Roman"/>
          <w:color w:val="000000"/>
          <w:szCs w:val="24"/>
          <w:lang w:eastAsia="hr-HR" w:bidi="hr-HR"/>
        </w:rPr>
        <w:t xml:space="preserve"> (iii)</w:t>
      </w:r>
      <w:r w:rsidRPr="00876122">
        <w:rPr>
          <w:rFonts w:eastAsia="Times New Roman"/>
          <w:color w:val="000000"/>
          <w:szCs w:val="24"/>
          <w:lang w:eastAsia="hr-HR" w:bidi="hr-HR"/>
        </w:rPr>
        <w:t xml:space="preserve"> surveys, studies and impact assessments, in particular to monitor the proper implementation of existing legislation, prepare, or </w:t>
      </w:r>
      <w:r w:rsidRPr="00B67C16">
        <w:rPr>
          <w:rFonts w:eastAsia="Times New Roman"/>
          <w:color w:val="000000"/>
          <w:szCs w:val="24"/>
          <w:lang w:eastAsia="hr-HR" w:bidi="hr-HR"/>
        </w:rPr>
        <w:t>accompany</w:t>
      </w:r>
      <w:r w:rsidRPr="00876122">
        <w:rPr>
          <w:rFonts w:eastAsia="Times New Roman"/>
          <w:color w:val="000000"/>
          <w:szCs w:val="24"/>
          <w:lang w:eastAsia="hr-HR" w:bidi="hr-HR"/>
        </w:rPr>
        <w:t xml:space="preserve">, new legislation or </w:t>
      </w:r>
      <w:r w:rsidRPr="00876122">
        <w:rPr>
          <w:rFonts w:eastAsia="Times New Roman"/>
          <w:color w:val="000000"/>
          <w:szCs w:val="24"/>
          <w:lang w:eastAsia="hr-HR" w:bidi="hr-HR"/>
        </w:rPr>
        <w:lastRenderedPageBreak/>
        <w:t>respond to policy changes in the area of judicial cooperation in civil and criminal matters (e.g.: support to the European Judicial Network in Civil and Commercial Matters (EJN-civil), presidencies</w:t>
      </w:r>
      <w:r w:rsidR="00997B48">
        <w:rPr>
          <w:rFonts w:eastAsia="Times New Roman"/>
          <w:color w:val="000000"/>
          <w:szCs w:val="24"/>
          <w:lang w:eastAsia="hr-HR" w:bidi="hr-HR"/>
        </w:rPr>
        <w:t>,</w:t>
      </w:r>
      <w:r w:rsidRPr="00876122">
        <w:rPr>
          <w:rFonts w:eastAsia="Times New Roman"/>
          <w:color w:val="000000"/>
          <w:szCs w:val="24"/>
          <w:lang w:eastAsia="hr-HR" w:bidi="hr-HR"/>
        </w:rPr>
        <w:t xml:space="preserve"> </w:t>
      </w:r>
      <w:r w:rsidRPr="008962C8">
        <w:rPr>
          <w:rFonts w:eastAsia="Times New Roman"/>
          <w:color w:val="000000"/>
          <w:szCs w:val="24"/>
          <w:lang w:eastAsia="hr-HR" w:bidi="hr-HR"/>
        </w:rPr>
        <w:t>conferences, etc.).</w:t>
      </w:r>
    </w:p>
    <w:p w14:paraId="2AF1981A" w14:textId="6818A5DF" w:rsidR="00F47FDE" w:rsidRPr="008B3AEC"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lang w:eastAsia="hr-HR" w:bidi="hr-HR"/>
        </w:rPr>
      </w:pPr>
      <w:r w:rsidRPr="008962C8">
        <w:rPr>
          <w:rFonts w:eastAsia="Times New Roman"/>
          <w:color w:val="000000"/>
          <w:szCs w:val="24"/>
          <w:lang w:eastAsia="hr-HR" w:bidi="hr-HR"/>
        </w:rPr>
        <w:t xml:space="preserve">Along with existing, new framework contracts may be envisaged especially in support to the </w:t>
      </w:r>
      <w:r w:rsidRPr="008B3AEC">
        <w:rPr>
          <w:rFonts w:eastAsia="Times New Roman"/>
          <w:color w:val="000000"/>
          <w:szCs w:val="24"/>
          <w:lang w:eastAsia="hr-HR" w:bidi="hr-HR"/>
        </w:rPr>
        <w:t>organisation of workshops and policy meetings, on evaluation, impact assessment and related policy support services as well as of policy work on judicial cooperation.</w:t>
      </w:r>
    </w:p>
    <w:p w14:paraId="794DB9A3" w14:textId="77777777" w:rsidR="00F47FDE" w:rsidRPr="00876122" w:rsidRDefault="00F47FDE" w:rsidP="00FA563B">
      <w:pPr>
        <w:widowControl w:val="0"/>
        <w:shd w:val="clear" w:color="auto" w:fill="FFFFFF"/>
        <w:spacing w:before="0" w:line="288" w:lineRule="auto"/>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p w14:paraId="299915FC" w14:textId="38C92AA5" w:rsidR="00F47FDE" w:rsidRPr="005C5AE6" w:rsidRDefault="00F47FDE" w:rsidP="00EC0AFD">
      <w:pPr>
        <w:pStyle w:val="ListParagraph"/>
        <w:widowControl w:val="0"/>
        <w:numPr>
          <w:ilvl w:val="0"/>
          <w:numId w:val="60"/>
        </w:numPr>
        <w:pBdr>
          <w:top w:val="single" w:sz="4" w:space="0" w:color="auto"/>
          <w:left w:val="single" w:sz="4" w:space="0" w:color="auto"/>
          <w:bottom w:val="single" w:sz="4" w:space="0" w:color="auto"/>
          <w:right w:val="single" w:sz="4" w:space="0" w:color="auto"/>
        </w:pBdr>
        <w:shd w:val="clear" w:color="auto" w:fill="FFFFFF"/>
        <w:tabs>
          <w:tab w:val="left" w:pos="515"/>
        </w:tabs>
        <w:spacing w:before="0" w:after="0"/>
        <w:ind w:left="0" w:firstLine="0"/>
        <w:rPr>
          <w:rFonts w:eastAsia="Times New Roman"/>
          <w:color w:val="000000"/>
          <w:szCs w:val="24"/>
          <w:lang w:eastAsia="hr-HR" w:bidi="hr-HR"/>
        </w:rPr>
      </w:pPr>
      <w:r w:rsidRPr="005C5AE6">
        <w:rPr>
          <w:rFonts w:eastAsia="Times New Roman"/>
          <w:color w:val="000000"/>
          <w:szCs w:val="24"/>
          <w:lang w:eastAsia="hr-HR" w:bidi="hr-HR"/>
        </w:rPr>
        <w:t>Increased capacity of national practitioners, courts and authorities to address issues related to judicial cooperation in civil and criminal matters and to the application of the U</w:t>
      </w:r>
      <w:r w:rsidR="00DF6207">
        <w:rPr>
          <w:rFonts w:eastAsia="Times New Roman"/>
          <w:color w:val="000000"/>
          <w:szCs w:val="24"/>
          <w:lang w:eastAsia="hr-HR" w:bidi="hr-HR"/>
        </w:rPr>
        <w:t>nion</w:t>
      </w:r>
      <w:r w:rsidRPr="005C5AE6">
        <w:rPr>
          <w:rFonts w:eastAsia="Times New Roman"/>
          <w:color w:val="000000"/>
          <w:szCs w:val="24"/>
          <w:lang w:eastAsia="hr-HR" w:bidi="hr-HR"/>
        </w:rPr>
        <w:t xml:space="preserve"> instruments on civil and civil procedural law</w:t>
      </w:r>
      <w:r w:rsidRPr="005C5AE6">
        <w:rPr>
          <w:lang w:eastAsia="hr-HR" w:bidi="hr-HR"/>
        </w:rPr>
        <w:t xml:space="preserve">, as well as </w:t>
      </w:r>
      <w:r w:rsidRPr="005C5AE6">
        <w:rPr>
          <w:rFonts w:eastAsia="Times New Roman"/>
          <w:color w:val="000000"/>
          <w:szCs w:val="24"/>
          <w:lang w:eastAsia="hr-HR" w:bidi="hr-HR"/>
        </w:rPr>
        <w:t xml:space="preserve">on criminal and criminal procedural </w:t>
      </w:r>
      <w:proofErr w:type="gramStart"/>
      <w:r w:rsidRPr="005C5AE6">
        <w:rPr>
          <w:rFonts w:eastAsia="Times New Roman"/>
          <w:color w:val="000000"/>
          <w:szCs w:val="24"/>
          <w:lang w:eastAsia="hr-HR" w:bidi="hr-HR"/>
        </w:rPr>
        <w:t>law;</w:t>
      </w:r>
      <w:proofErr w:type="gramEnd"/>
    </w:p>
    <w:p w14:paraId="70ED39F6" w14:textId="4AEDBF73" w:rsidR="00F47FDE" w:rsidRPr="005C5AE6" w:rsidRDefault="00F47FDE" w:rsidP="00EC0AFD">
      <w:pPr>
        <w:pStyle w:val="ListParagraph"/>
        <w:widowControl w:val="0"/>
        <w:numPr>
          <w:ilvl w:val="0"/>
          <w:numId w:val="60"/>
        </w:numPr>
        <w:pBdr>
          <w:top w:val="single" w:sz="4" w:space="0" w:color="auto"/>
          <w:left w:val="single" w:sz="4" w:space="0" w:color="auto"/>
          <w:bottom w:val="single" w:sz="4" w:space="0" w:color="auto"/>
          <w:right w:val="single" w:sz="4" w:space="0" w:color="auto"/>
        </w:pBdr>
        <w:shd w:val="clear" w:color="auto" w:fill="FFFFFF"/>
        <w:tabs>
          <w:tab w:val="left" w:pos="515"/>
        </w:tabs>
        <w:spacing w:before="0" w:after="0"/>
        <w:ind w:left="0" w:firstLine="0"/>
        <w:rPr>
          <w:rFonts w:eastAsia="Times New Roman"/>
          <w:color w:val="000000"/>
          <w:szCs w:val="24"/>
          <w:lang w:eastAsia="hr-HR" w:bidi="hr-HR"/>
        </w:rPr>
      </w:pPr>
      <w:r w:rsidRPr="005C5AE6">
        <w:rPr>
          <w:rFonts w:eastAsia="Times New Roman"/>
          <w:color w:val="000000"/>
          <w:szCs w:val="24"/>
          <w:lang w:eastAsia="hr-HR" w:bidi="hr-HR"/>
        </w:rPr>
        <w:t xml:space="preserve">Improved cooperation and exchange of information </w:t>
      </w:r>
      <w:r w:rsidRPr="005C5AE6">
        <w:rPr>
          <w:lang w:eastAsia="hr-HR" w:bidi="hr-HR"/>
        </w:rPr>
        <w:t xml:space="preserve">between competent national authorities (including courts) in relation to judicial cooperation in civil </w:t>
      </w:r>
      <w:r w:rsidRPr="005C5AE6">
        <w:rPr>
          <w:rFonts w:eastAsia="Times New Roman"/>
          <w:color w:val="000000"/>
          <w:szCs w:val="24"/>
          <w:lang w:eastAsia="hr-HR" w:bidi="hr-HR"/>
        </w:rPr>
        <w:t xml:space="preserve">and criminal </w:t>
      </w:r>
      <w:proofErr w:type="gramStart"/>
      <w:r w:rsidRPr="005C5AE6">
        <w:rPr>
          <w:rFonts w:eastAsia="Times New Roman"/>
          <w:color w:val="000000"/>
          <w:szCs w:val="24"/>
          <w:lang w:eastAsia="hr-HR" w:bidi="hr-HR"/>
        </w:rPr>
        <w:t>matters;</w:t>
      </w:r>
      <w:proofErr w:type="gramEnd"/>
    </w:p>
    <w:p w14:paraId="57D59544" w14:textId="77777777" w:rsidR="00F47FDE" w:rsidRPr="006D0DEC" w:rsidRDefault="00F47FDE" w:rsidP="00EC0AFD">
      <w:pPr>
        <w:pStyle w:val="ListParagraph"/>
        <w:widowControl w:val="0"/>
        <w:numPr>
          <w:ilvl w:val="0"/>
          <w:numId w:val="60"/>
        </w:numPr>
        <w:pBdr>
          <w:top w:val="single" w:sz="4" w:space="0" w:color="auto"/>
          <w:left w:val="single" w:sz="4" w:space="0" w:color="auto"/>
          <w:bottom w:val="single" w:sz="4" w:space="0" w:color="auto"/>
          <w:right w:val="single" w:sz="4" w:space="0" w:color="auto"/>
        </w:pBdr>
        <w:shd w:val="clear" w:color="auto" w:fill="FFFFFF"/>
        <w:tabs>
          <w:tab w:val="left" w:pos="515"/>
        </w:tabs>
        <w:spacing w:before="0" w:after="0"/>
        <w:ind w:left="0" w:firstLine="0"/>
        <w:rPr>
          <w:rFonts w:eastAsia="Times New Roman"/>
          <w:color w:val="000000"/>
          <w:szCs w:val="24"/>
          <w:lang w:eastAsia="hr-HR" w:bidi="hr-HR"/>
        </w:rPr>
      </w:pPr>
      <w:r w:rsidRPr="005C5AE6">
        <w:rPr>
          <w:rFonts w:eastAsia="Times New Roman"/>
          <w:color w:val="000000"/>
          <w:szCs w:val="24"/>
          <w:lang w:eastAsia="hr-HR" w:bidi="hr-HR"/>
        </w:rPr>
        <w:t xml:space="preserve">Better preparedness in evaluating existing instruments and/or preparing new legislation in the field </w:t>
      </w:r>
      <w:r w:rsidRPr="006D0DEC">
        <w:rPr>
          <w:rFonts w:eastAsia="Times New Roman"/>
          <w:color w:val="000000"/>
          <w:szCs w:val="24"/>
          <w:lang w:eastAsia="hr-HR" w:bidi="hr-HR"/>
        </w:rPr>
        <w:t>of judicial cooperation in civil and criminal matters.</w:t>
      </w:r>
    </w:p>
    <w:p w14:paraId="30922F71" w14:textId="77777777" w:rsidR="00F47FDE" w:rsidRPr="00876122" w:rsidRDefault="00F47FDE" w:rsidP="00FA563B">
      <w:pPr>
        <w:widowControl w:val="0"/>
        <w:shd w:val="clear" w:color="auto" w:fill="FFFFFF"/>
        <w:spacing w:after="24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Implementation</w:t>
      </w:r>
    </w:p>
    <w:p w14:paraId="7312A326" w14:textId="77777777" w:rsidR="008B3AEC" w:rsidRPr="008B3AEC" w:rsidRDefault="00F47FDE" w:rsidP="008B3AEC">
      <w:pPr>
        <w:widowControl w:val="0"/>
        <w:pBdr>
          <w:top w:val="single" w:sz="4" w:space="0" w:color="auto"/>
          <w:left w:val="single" w:sz="4" w:space="0" w:color="auto"/>
          <w:bottom w:val="single" w:sz="4" w:space="0" w:color="auto"/>
          <w:right w:val="single" w:sz="4" w:space="0" w:color="auto"/>
        </w:pBdr>
        <w:shd w:val="clear" w:color="auto" w:fill="FFFFFF"/>
        <w:spacing w:before="0" w:after="0"/>
        <w:rPr>
          <w:rFonts w:eastAsia="Times New Roman"/>
          <w:color w:val="000000"/>
          <w:szCs w:val="24"/>
          <w:lang w:eastAsia="hr-HR" w:bidi="hr-HR"/>
        </w:rPr>
      </w:pPr>
      <w:r w:rsidRPr="00876122">
        <w:rPr>
          <w:rFonts w:eastAsia="Times New Roman"/>
          <w:color w:val="000000"/>
          <w:szCs w:val="24"/>
          <w:lang w:eastAsia="hr-HR" w:bidi="hr-HR"/>
        </w:rPr>
        <w:t xml:space="preserve">Direct management by DG JUST and, where indicated, by the Publication Office based on a </w:t>
      </w:r>
      <w:r w:rsidRPr="004D5581">
        <w:rPr>
          <w:rFonts w:eastAsia="Times New Roman"/>
          <w:color w:val="000000"/>
          <w:szCs w:val="24"/>
          <w:lang w:eastAsia="hr-HR" w:bidi="hr-HR"/>
        </w:rPr>
        <w:t>cross sub-delegation</w:t>
      </w:r>
      <w:r w:rsidRPr="00876122">
        <w:rPr>
          <w:rFonts w:eastAsia="Times New Roman"/>
          <w:color w:val="000000"/>
          <w:szCs w:val="24"/>
          <w:lang w:eastAsia="hr-HR" w:bidi="hr-HR"/>
        </w:rPr>
        <w:t xml:space="preserve"> and by DIGIT based on a co-delegation. Other co-delegations might</w:t>
      </w:r>
      <w:r w:rsidR="00D534F5">
        <w:rPr>
          <w:rFonts w:eastAsia="Times New Roman"/>
          <w:color w:val="000000"/>
          <w:szCs w:val="24"/>
          <w:lang w:eastAsia="hr-HR" w:bidi="hr-HR"/>
        </w:rPr>
        <w:t xml:space="preserve"> also</w:t>
      </w:r>
      <w:r w:rsidRPr="00876122">
        <w:rPr>
          <w:rFonts w:eastAsia="Times New Roman"/>
          <w:color w:val="000000"/>
          <w:szCs w:val="24"/>
          <w:lang w:eastAsia="hr-HR" w:bidi="hr-HR"/>
        </w:rPr>
        <w:t xml:space="preserve"> </w:t>
      </w:r>
      <w:r w:rsidRPr="008B3AEC">
        <w:rPr>
          <w:rFonts w:eastAsia="Times New Roman"/>
          <w:color w:val="000000"/>
          <w:szCs w:val="24"/>
          <w:lang w:eastAsia="hr-HR" w:bidi="hr-HR"/>
        </w:rPr>
        <w:t>be used, if needed.</w:t>
      </w:r>
    </w:p>
    <w:p w14:paraId="05DE39B5" w14:textId="1F09F2AA" w:rsidR="008B3AEC" w:rsidRDefault="008B3AEC" w:rsidP="008B3AEC">
      <w:pPr>
        <w:widowControl w:val="0"/>
        <w:pBdr>
          <w:top w:val="single" w:sz="4" w:space="0" w:color="auto"/>
          <w:left w:val="single" w:sz="4" w:space="0" w:color="auto"/>
          <w:bottom w:val="single" w:sz="4" w:space="0" w:color="auto"/>
          <w:right w:val="single" w:sz="4" w:space="0" w:color="auto"/>
        </w:pBdr>
        <w:shd w:val="clear" w:color="auto" w:fill="FFFFFF"/>
        <w:spacing w:before="0" w:after="0"/>
        <w:rPr>
          <w:rFonts w:eastAsia="Times New Roman"/>
          <w:color w:val="000000"/>
          <w:szCs w:val="24"/>
          <w:lang w:eastAsia="hr-HR" w:bidi="hr-HR"/>
        </w:rPr>
      </w:pPr>
      <w:r w:rsidRPr="008B3AEC">
        <w:rPr>
          <w:rFonts w:eastAsia="Times New Roman"/>
          <w:color w:val="000000"/>
          <w:szCs w:val="24"/>
          <w:lang w:eastAsia="hr-HR" w:bidi="hr-HR"/>
        </w:rPr>
        <w:t xml:space="preserve">If the Commission estimates that some policy actions foreseen under procurement would be better implemented </w:t>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taking into account the evolution of the policy context </w:t>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through indirect management, then contribution agreements following a proposal for action, including a request for funding, submitted to the Commission by one of the eligible entities working in the area of judicial cooperation in civil and criminal matters may be concluded in accordance with Title VI ‘Indirect management’ of the Financial Regulation. This concerns organisations which have been subject to an ex-ante assessment pursuant to Article </w:t>
      </w:r>
      <w:r w:rsidRPr="008B3AEC">
        <w:rPr>
          <w:rFonts w:eastAsia="Times New Roman"/>
          <w:color w:val="000000"/>
          <w:szCs w:val="24"/>
          <w:lang w:eastAsia="bg-BG" w:bidi="bg-BG"/>
        </w:rPr>
        <w:t xml:space="preserve">157 </w:t>
      </w:r>
      <w:r w:rsidRPr="008B3AEC">
        <w:rPr>
          <w:rFonts w:eastAsia="Times New Roman"/>
          <w:color w:val="000000"/>
          <w:szCs w:val="24"/>
          <w:lang w:eastAsia="hr-HR" w:bidi="hr-HR"/>
        </w:rPr>
        <w:t xml:space="preserve">of the Financial Regulation, including those that are signatories of a framework partnership agreement concluded with the Commission pursuant to Art. 4 of Regulation (EU) </w:t>
      </w:r>
      <w:r w:rsidRPr="008B3AEC">
        <w:rPr>
          <w:rFonts w:eastAsia="Times New Roman"/>
          <w:color w:val="000000"/>
          <w:szCs w:val="24"/>
          <w:lang w:eastAsia="bg-BG" w:bidi="bg-BG"/>
        </w:rPr>
        <w:t>2016/369</w:t>
      </w:r>
      <w:r w:rsidRPr="008B3AEC">
        <w:rPr>
          <w:rStyle w:val="FootnoteReference"/>
          <w:rFonts w:eastAsia="Times New Roman"/>
          <w:color w:val="000000"/>
          <w:szCs w:val="24"/>
          <w:lang w:eastAsia="bg-BG" w:bidi="bg-BG"/>
        </w:rPr>
        <w:footnoteReference w:id="41"/>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or those that are covered by the Financial and Administrative Framework Agreement concluded with the United Nations. Such organisations will have to demonstrate specific technical competence and experience appropriate for the action </w:t>
      </w:r>
      <w:proofErr w:type="gramStart"/>
      <w:r w:rsidRPr="008B3AEC">
        <w:rPr>
          <w:rFonts w:eastAsia="Times New Roman"/>
          <w:color w:val="000000"/>
          <w:szCs w:val="24"/>
          <w:lang w:eastAsia="hr-HR" w:bidi="hr-HR"/>
        </w:rPr>
        <w:t>in the area of</w:t>
      </w:r>
      <w:proofErr w:type="gramEnd"/>
      <w:r w:rsidRPr="008B3AEC">
        <w:rPr>
          <w:rFonts w:eastAsia="Times New Roman"/>
          <w:color w:val="000000"/>
          <w:szCs w:val="24"/>
          <w:lang w:eastAsia="hr-HR" w:bidi="hr-HR"/>
        </w:rPr>
        <w:t xml:space="preserve"> judicial cooperation in civil and criminal matters and must have the know-how, qualifications and resources to successfully implement the actions. This capacity will be assessed together with the ‘Quality’ entrustment requirements, </w:t>
      </w:r>
      <w:proofErr w:type="gramStart"/>
      <w:r w:rsidRPr="008B3AEC">
        <w:rPr>
          <w:rFonts w:eastAsia="Times New Roman"/>
          <w:color w:val="000000"/>
          <w:szCs w:val="24"/>
          <w:lang w:eastAsia="hr-HR" w:bidi="hr-HR"/>
        </w:rPr>
        <w:t>on the basis of</w:t>
      </w:r>
      <w:proofErr w:type="gramEnd"/>
      <w:r w:rsidRPr="008B3AEC">
        <w:rPr>
          <w:rFonts w:eastAsia="Times New Roman"/>
          <w:color w:val="000000"/>
          <w:szCs w:val="24"/>
          <w:lang w:eastAsia="hr-HR" w:bidi="hr-HR"/>
        </w:rPr>
        <w:t xml:space="preserve"> the competence and experience of the organisation and their project team, including operational resources (human, technical and other). The proposal for the action and request of funding will be assessed based on the relevance of the action against the objectives of the </w:t>
      </w:r>
      <w:r w:rsidR="000C632E">
        <w:rPr>
          <w:rFonts w:eastAsia="Times New Roman"/>
          <w:color w:val="000000"/>
          <w:szCs w:val="24"/>
          <w:lang w:eastAsia="hr-HR" w:bidi="hr-HR"/>
        </w:rPr>
        <w:t>P</w:t>
      </w:r>
      <w:r w:rsidRPr="008B3AEC">
        <w:rPr>
          <w:rFonts w:eastAsia="Times New Roman"/>
          <w:color w:val="000000"/>
          <w:szCs w:val="24"/>
          <w:lang w:eastAsia="hr-HR" w:bidi="hr-HR"/>
        </w:rPr>
        <w:t>rogramme, the quality of the action and its impact. 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(ODIHI), as well as agencies of the United Nations.</w:t>
      </w:r>
    </w:p>
    <w:p w14:paraId="468561BD" w14:textId="77777777" w:rsidR="008B3AEC" w:rsidRPr="00876122" w:rsidRDefault="008B3AEC"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660"/>
        <w:rPr>
          <w:rFonts w:eastAsia="Times New Roman"/>
          <w:color w:val="000000"/>
          <w:szCs w:val="24"/>
          <w:lang w:eastAsia="hr-HR" w:bidi="hr-HR"/>
        </w:rPr>
      </w:pPr>
    </w:p>
    <w:p w14:paraId="00D44F62" w14:textId="2993EAF3" w:rsidR="00F47FDE" w:rsidRPr="00876122" w:rsidRDefault="00F47FDE" w:rsidP="00FA563B">
      <w:pPr>
        <w:pStyle w:val="Heading2"/>
        <w:rPr>
          <w:rFonts w:eastAsia="Times New Roman"/>
          <w:lang w:eastAsia="hr-HR" w:bidi="hr-HR"/>
        </w:rPr>
      </w:pPr>
      <w:bookmarkStart w:id="43" w:name="bookmark88"/>
      <w:bookmarkStart w:id="44" w:name="bookmark87"/>
      <w:bookmarkStart w:id="45" w:name="_Toc205461089"/>
      <w:r w:rsidRPr="00876122">
        <w:rPr>
          <w:rFonts w:eastAsia="Times New Roman"/>
          <w:lang w:eastAsia="hr-HR" w:bidi="hr-HR"/>
        </w:rPr>
        <w:lastRenderedPageBreak/>
        <w:t>Procurement activities under Specific objective: judicial training</w:t>
      </w:r>
      <w:bookmarkEnd w:id="43"/>
      <w:bookmarkEnd w:id="44"/>
      <w:bookmarkEnd w:id="45"/>
    </w:p>
    <w:p w14:paraId="6BF61E2B"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tbl>
      <w:tblPr>
        <w:tblStyle w:val="TableGrid"/>
        <w:tblW w:w="0" w:type="auto"/>
        <w:tblLook w:val="04A0" w:firstRow="1" w:lastRow="0" w:firstColumn="1" w:lastColumn="0" w:noHBand="0" w:noVBand="1"/>
      </w:tblPr>
      <w:tblGrid>
        <w:gridCol w:w="9464"/>
      </w:tblGrid>
      <w:tr w:rsidR="00F47FDE" w:rsidRPr="00876122" w14:paraId="3BA3CBF9" w14:textId="77777777" w:rsidTr="009C2D89">
        <w:tc>
          <w:tcPr>
            <w:tcW w:w="9464" w:type="dxa"/>
          </w:tcPr>
          <w:p w14:paraId="2AF95E4F" w14:textId="270DA093" w:rsidR="00F47FDE" w:rsidRPr="00876122" w:rsidRDefault="00F47FDE" w:rsidP="006D0DEC">
            <w:pPr>
              <w:shd w:val="clear" w:color="auto" w:fill="FFFFFF"/>
              <w:spacing w:before="0" w:after="0"/>
              <w:jc w:val="left"/>
              <w:rPr>
                <w:color w:val="000000"/>
              </w:rPr>
            </w:pPr>
            <w:r w:rsidRPr="00876122">
              <w:rPr>
                <w:color w:val="000000"/>
              </w:rPr>
              <w:t>Art</w:t>
            </w:r>
            <w:r w:rsidR="00D534F5">
              <w:rPr>
                <w:color w:val="000000"/>
              </w:rPr>
              <w:t>icle</w:t>
            </w:r>
            <w:r w:rsidR="00876122">
              <w:rPr>
                <w:color w:val="000000"/>
              </w:rPr>
              <w:t> </w:t>
            </w:r>
            <w:r w:rsidRPr="00876122">
              <w:rPr>
                <w:color w:val="000000"/>
              </w:rPr>
              <w:t xml:space="preserve">3(2)(b) </w:t>
            </w:r>
            <w:r w:rsidR="005C5AE6">
              <w:rPr>
                <w:color w:val="000000"/>
              </w:rPr>
              <w:t xml:space="preserve">of </w:t>
            </w:r>
            <w:r w:rsidRPr="00876122">
              <w:rPr>
                <w:color w:val="000000"/>
              </w:rPr>
              <w:t xml:space="preserve">Regulation (EU) </w:t>
            </w:r>
            <w:r w:rsidRPr="00876122">
              <w:rPr>
                <w:color w:val="000000"/>
                <w:lang w:eastAsia="bg-BG" w:bidi="bg-BG"/>
              </w:rPr>
              <w:t xml:space="preserve">2021/693 </w:t>
            </w:r>
          </w:p>
        </w:tc>
      </w:tr>
    </w:tbl>
    <w:p w14:paraId="25098EA5" w14:textId="77777777" w:rsidR="00F47FDE" w:rsidRPr="00876122" w:rsidRDefault="00F47FDE" w:rsidP="00FA563B">
      <w:pPr>
        <w:widowControl w:val="0"/>
        <w:shd w:val="clear" w:color="auto" w:fill="FFFFFF"/>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7AB20FB4"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02: </w:t>
      </w:r>
      <w:r w:rsidRPr="00876122">
        <w:rPr>
          <w:rFonts w:eastAsia="Times New Roman"/>
          <w:color w:val="000000"/>
          <w:szCs w:val="24"/>
          <w:lang w:eastAsia="hr-HR" w:bidi="hr-HR"/>
        </w:rPr>
        <w:t>Support judicial training</w:t>
      </w:r>
    </w:p>
    <w:p w14:paraId="1C115C56"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6110111A" w14:textId="1BF0D4C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40"/>
        <w:rPr>
          <w:rFonts w:eastAsia="Times New Roman"/>
          <w:color w:val="000000"/>
          <w:szCs w:val="24"/>
          <w:lang w:eastAsia="hr-HR" w:bidi="hr-HR"/>
        </w:rPr>
      </w:pPr>
      <w:r w:rsidRPr="00876122">
        <w:rPr>
          <w:rFonts w:eastAsia="Times New Roman"/>
          <w:color w:val="000000"/>
          <w:szCs w:val="24"/>
          <w:lang w:eastAsia="hr-HR" w:bidi="hr-HR"/>
        </w:rPr>
        <w:t xml:space="preserve">The objective is to contribute to the effective and </w:t>
      </w:r>
      <w:r w:rsidR="00A84A96">
        <w:rPr>
          <w:rFonts w:eastAsia="Times New Roman"/>
          <w:color w:val="000000"/>
          <w:szCs w:val="24"/>
          <w:lang w:eastAsia="hr-HR" w:bidi="hr-HR"/>
        </w:rPr>
        <w:t>consistent</w:t>
      </w:r>
      <w:r w:rsidR="00A84A96" w:rsidRPr="00876122">
        <w:rPr>
          <w:rFonts w:eastAsia="Times New Roman"/>
          <w:color w:val="000000"/>
          <w:szCs w:val="24"/>
          <w:lang w:eastAsia="hr-HR" w:bidi="hr-HR"/>
        </w:rPr>
        <w:t xml:space="preserve"> </w:t>
      </w:r>
      <w:r w:rsidRPr="00876122">
        <w:rPr>
          <w:rFonts w:eastAsia="Times New Roman"/>
          <w:color w:val="000000"/>
          <w:szCs w:val="24"/>
          <w:lang w:eastAsia="hr-HR" w:bidi="hr-HR"/>
        </w:rPr>
        <w:t xml:space="preserve">application of EU law in the areas of civil law, commercial law, criminal law and fundamental rights (as enshrined in the Charter) </w:t>
      </w:r>
      <w:r w:rsidRPr="00243FBF">
        <w:rPr>
          <w:rFonts w:eastAsia="Times New Roman"/>
          <w:color w:val="000000"/>
          <w:szCs w:val="24"/>
          <w:lang w:eastAsia="hr-HR" w:bidi="hr-HR"/>
        </w:rPr>
        <w:t>and rule of law</w:t>
      </w:r>
      <w:r w:rsidR="006148F1" w:rsidRPr="005C5AE6">
        <w:rPr>
          <w:rFonts w:eastAsia="Times New Roman"/>
          <w:color w:val="000000"/>
          <w:szCs w:val="24"/>
          <w:lang w:eastAsia="hr-HR" w:bidi="hr-HR"/>
        </w:rPr>
        <w:t>-</w:t>
      </w:r>
      <w:r w:rsidRPr="00243FBF">
        <w:rPr>
          <w:rFonts w:eastAsia="Times New Roman"/>
          <w:color w:val="000000"/>
          <w:szCs w:val="24"/>
          <w:lang w:eastAsia="hr-HR" w:bidi="hr-HR"/>
        </w:rPr>
        <w:t>related issues, b</w:t>
      </w:r>
      <w:r w:rsidRPr="00876122">
        <w:rPr>
          <w:rFonts w:eastAsia="Times New Roman"/>
          <w:color w:val="000000"/>
          <w:szCs w:val="24"/>
          <w:lang w:eastAsia="hr-HR" w:bidi="hr-HR"/>
        </w:rPr>
        <w:t>y helping to address the training needs of justice professionals in these fields.</w:t>
      </w:r>
    </w:p>
    <w:p w14:paraId="406D05AF" w14:textId="77777777" w:rsidR="00F47FDE" w:rsidRPr="00876122" w:rsidRDefault="00F47FDE" w:rsidP="00F47FDE">
      <w:pPr>
        <w:widowControl w:val="0"/>
        <w:shd w:val="clear" w:color="auto" w:fill="FFFFFF"/>
        <w:spacing w:before="0" w:after="28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 of the activities and contracts</w:t>
      </w:r>
    </w:p>
    <w:p w14:paraId="317FF25A" w14:textId="011FA259" w:rsidR="00F47FDE" w:rsidRPr="008962C8"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In </w:t>
      </w:r>
      <w:r w:rsidRPr="00876122">
        <w:rPr>
          <w:rFonts w:eastAsia="Times New Roman"/>
          <w:color w:val="000000"/>
          <w:szCs w:val="24"/>
          <w:lang w:eastAsia="bg-BG" w:bidi="bg-BG"/>
        </w:rPr>
        <w:t xml:space="preserve">2026 and 2027, </w:t>
      </w:r>
      <w:r w:rsidRPr="00876122">
        <w:rPr>
          <w:rFonts w:eastAsia="Times New Roman"/>
          <w:color w:val="000000"/>
          <w:szCs w:val="24"/>
          <w:lang w:eastAsia="hr-HR" w:bidi="hr-HR"/>
        </w:rPr>
        <w:t xml:space="preserve">the Commission intends to undertake actions through contracts following public procurement (open calls for tenders and framework contracts). The types of activities funded may include the following: </w:t>
      </w:r>
      <w:r w:rsidR="0037798C">
        <w:rPr>
          <w:rFonts w:eastAsia="Times New Roman"/>
          <w:color w:val="000000"/>
          <w:szCs w:val="24"/>
          <w:lang w:eastAsia="hr-HR" w:bidi="hr-HR"/>
        </w:rPr>
        <w:t>(</w:t>
      </w:r>
      <w:proofErr w:type="spellStart"/>
      <w:r w:rsidR="0037798C">
        <w:rPr>
          <w:rFonts w:eastAsia="Times New Roman"/>
          <w:color w:val="000000"/>
          <w:szCs w:val="24"/>
          <w:lang w:eastAsia="hr-HR" w:bidi="hr-HR"/>
        </w:rPr>
        <w:t>i</w:t>
      </w:r>
      <w:proofErr w:type="spellEnd"/>
      <w:r w:rsidR="0037798C">
        <w:rPr>
          <w:rFonts w:eastAsia="Times New Roman"/>
          <w:color w:val="000000"/>
          <w:szCs w:val="24"/>
          <w:lang w:eastAsia="hr-HR" w:bidi="hr-HR"/>
        </w:rPr>
        <w:t xml:space="preserve">) </w:t>
      </w:r>
      <w:r w:rsidRPr="00876122">
        <w:rPr>
          <w:rFonts w:eastAsia="Times New Roman"/>
          <w:color w:val="000000"/>
          <w:szCs w:val="24"/>
          <w:lang w:eastAsia="hr-HR" w:bidi="hr-HR"/>
        </w:rPr>
        <w:t>conferences, expert meetings, meetings of committees in support of implementing U</w:t>
      </w:r>
      <w:r w:rsidR="00DF6207">
        <w:rPr>
          <w:rFonts w:eastAsia="Times New Roman"/>
          <w:color w:val="000000"/>
          <w:szCs w:val="24"/>
          <w:lang w:eastAsia="hr-HR" w:bidi="hr-HR"/>
        </w:rPr>
        <w:t>nion</w:t>
      </w:r>
      <w:r w:rsidRPr="00876122">
        <w:rPr>
          <w:rFonts w:eastAsia="Times New Roman"/>
          <w:color w:val="000000"/>
          <w:szCs w:val="24"/>
          <w:lang w:eastAsia="hr-HR" w:bidi="hr-HR"/>
        </w:rPr>
        <w:t xml:space="preserve"> legislative acts, seminars, communication activities;</w:t>
      </w:r>
      <w:r w:rsidR="00DD35D7">
        <w:rPr>
          <w:rFonts w:eastAsia="Times New Roman"/>
          <w:color w:val="000000"/>
          <w:szCs w:val="24"/>
          <w:lang w:eastAsia="hr-HR" w:bidi="hr-HR"/>
        </w:rPr>
        <w:t xml:space="preserve"> (ii)</w:t>
      </w:r>
      <w:r w:rsidRPr="00876122">
        <w:rPr>
          <w:rFonts w:eastAsia="Times New Roman"/>
          <w:color w:val="000000"/>
          <w:szCs w:val="24"/>
          <w:lang w:eastAsia="hr-HR" w:bidi="hr-HR"/>
        </w:rPr>
        <w:t xml:space="preserve"> development of training material, development and maintenance of IT platforms and systems;</w:t>
      </w:r>
      <w:r w:rsidR="00DD35D7">
        <w:rPr>
          <w:rFonts w:eastAsia="Times New Roman"/>
          <w:color w:val="000000"/>
          <w:szCs w:val="24"/>
          <w:lang w:eastAsia="hr-HR" w:bidi="hr-HR"/>
        </w:rPr>
        <w:t xml:space="preserve"> (iii)</w:t>
      </w:r>
      <w:r w:rsidRPr="00876122">
        <w:rPr>
          <w:rFonts w:eastAsia="Times New Roman"/>
          <w:color w:val="000000"/>
          <w:szCs w:val="24"/>
          <w:lang w:eastAsia="hr-HR" w:bidi="hr-HR"/>
        </w:rPr>
        <w:t xml:space="preserve"> surveys and studies, including when responding to policy changes in the area of judicial training (e.g. meeting of the Expert group on European judicial training, annual conference of stakeholders on European judicial training, preparatory analysis services of training providers and training courses for the European Training Platform, IT management of the European </w:t>
      </w:r>
      <w:r w:rsidRPr="008962C8">
        <w:rPr>
          <w:rFonts w:eastAsia="Times New Roman"/>
          <w:color w:val="000000"/>
          <w:szCs w:val="24"/>
          <w:lang w:eastAsia="hr-HR" w:bidi="hr-HR"/>
        </w:rPr>
        <w:t>Training Platform (ETP) of the European e-Justice Portal).</w:t>
      </w:r>
    </w:p>
    <w:p w14:paraId="14813021" w14:textId="7BF438F0" w:rsidR="00F47FDE" w:rsidRPr="008B3AEC"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962C8">
        <w:rPr>
          <w:rFonts w:eastAsia="Times New Roman"/>
          <w:color w:val="000000"/>
          <w:szCs w:val="24"/>
          <w:lang w:eastAsia="hr-HR" w:bidi="hr-HR"/>
        </w:rPr>
        <w:t xml:space="preserve">Along with </w:t>
      </w:r>
      <w:r w:rsidRPr="008B3AEC">
        <w:rPr>
          <w:rFonts w:eastAsia="Times New Roman"/>
          <w:color w:val="000000"/>
          <w:szCs w:val="24"/>
          <w:lang w:eastAsia="hr-HR" w:bidi="hr-HR"/>
        </w:rPr>
        <w:t>the existing, new framework contracts may be envisaged especially in support to the organisation of workshops and policy meetings, on policy work on judicial training.</w:t>
      </w:r>
    </w:p>
    <w:p w14:paraId="01C0E9E0" w14:textId="77777777" w:rsidR="00F47FDE" w:rsidRPr="00876122" w:rsidRDefault="00F47FDE" w:rsidP="00F47FDE">
      <w:pPr>
        <w:widowControl w:val="0"/>
        <w:shd w:val="clear" w:color="auto" w:fill="FFFFFF"/>
        <w:spacing w:before="0" w:after="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tbl>
      <w:tblPr>
        <w:tblStyle w:val="TableGrid"/>
        <w:tblW w:w="0" w:type="auto"/>
        <w:tblLook w:val="04A0" w:firstRow="1" w:lastRow="0" w:firstColumn="1" w:lastColumn="0" w:noHBand="0" w:noVBand="1"/>
      </w:tblPr>
      <w:tblGrid>
        <w:gridCol w:w="9464"/>
      </w:tblGrid>
      <w:tr w:rsidR="00F47FDE" w:rsidRPr="00876122" w14:paraId="2382402B" w14:textId="77777777" w:rsidTr="00EC0AFD">
        <w:tc>
          <w:tcPr>
            <w:tcW w:w="9464" w:type="dxa"/>
          </w:tcPr>
          <w:p w14:paraId="60D8DFBC" w14:textId="0239DD8E" w:rsidR="00F47FDE" w:rsidRPr="00876122" w:rsidRDefault="00F47FDE" w:rsidP="00EC0AFD">
            <w:pPr>
              <w:numPr>
                <w:ilvl w:val="0"/>
                <w:numId w:val="5"/>
              </w:numPr>
              <w:shd w:val="clear" w:color="auto" w:fill="FFFFFF"/>
              <w:tabs>
                <w:tab w:val="left" w:pos="515"/>
              </w:tabs>
              <w:spacing w:before="0" w:after="0"/>
              <w:rPr>
                <w:color w:val="000000"/>
              </w:rPr>
            </w:pPr>
            <w:r w:rsidRPr="00876122">
              <w:rPr>
                <w:color w:val="000000"/>
              </w:rPr>
              <w:t>Increased knowledge</w:t>
            </w:r>
            <w:r w:rsidR="00FB6E07">
              <w:rPr>
                <w:color w:val="000000"/>
              </w:rPr>
              <w:t xml:space="preserve"> among justice professionals</w:t>
            </w:r>
            <w:r w:rsidRPr="00876122">
              <w:rPr>
                <w:color w:val="000000"/>
              </w:rPr>
              <w:t xml:space="preserve"> of U</w:t>
            </w:r>
            <w:r w:rsidR="00DF6207">
              <w:rPr>
                <w:color w:val="000000"/>
              </w:rPr>
              <w:t>nion</w:t>
            </w:r>
            <w:r w:rsidRPr="00876122">
              <w:rPr>
                <w:color w:val="000000"/>
              </w:rPr>
              <w:t xml:space="preserve"> civil, commercial, criminal and fundamental rights instruments and the methods to implement </w:t>
            </w:r>
            <w:proofErr w:type="gramStart"/>
            <w:r w:rsidRPr="00876122">
              <w:rPr>
                <w:color w:val="000000"/>
              </w:rPr>
              <w:t>them;</w:t>
            </w:r>
            <w:proofErr w:type="gramEnd"/>
          </w:p>
          <w:p w14:paraId="7B0C1353" w14:textId="1307F141" w:rsidR="00F47FDE" w:rsidRPr="00876122" w:rsidRDefault="00F47FDE" w:rsidP="00EC0AFD">
            <w:pPr>
              <w:numPr>
                <w:ilvl w:val="0"/>
                <w:numId w:val="5"/>
              </w:numPr>
              <w:shd w:val="clear" w:color="auto" w:fill="FFFFFF"/>
              <w:tabs>
                <w:tab w:val="left" w:pos="515"/>
              </w:tabs>
              <w:spacing w:before="0" w:after="0"/>
              <w:rPr>
                <w:color w:val="000000"/>
              </w:rPr>
            </w:pPr>
            <w:r w:rsidRPr="00876122">
              <w:rPr>
                <w:color w:val="000000"/>
              </w:rPr>
              <w:t xml:space="preserve">Proper application of the decentralised IT systems under Regulation (EU) </w:t>
            </w:r>
            <w:r w:rsidRPr="00876122">
              <w:rPr>
                <w:color w:val="000000"/>
                <w:lang w:eastAsia="bg-BG" w:bidi="bg-BG"/>
              </w:rPr>
              <w:t>2023/2844</w:t>
            </w:r>
            <w:r w:rsidR="00FC1277">
              <w:rPr>
                <w:rStyle w:val="FootnoteReference"/>
                <w:color w:val="000000"/>
                <w:lang w:eastAsia="bg-BG" w:bidi="bg-BG"/>
              </w:rPr>
              <w:footnoteReference w:id="42"/>
            </w:r>
            <w:r w:rsidRPr="00876122">
              <w:rPr>
                <w:color w:val="000000"/>
                <w:lang w:eastAsia="bg-BG" w:bidi="bg-BG"/>
              </w:rPr>
              <w:t>;</w:t>
            </w:r>
          </w:p>
          <w:p w14:paraId="194E5ACE" w14:textId="77777777" w:rsidR="00F47FDE" w:rsidRPr="00876122" w:rsidRDefault="00F47FDE" w:rsidP="00EC0AFD">
            <w:pPr>
              <w:numPr>
                <w:ilvl w:val="0"/>
                <w:numId w:val="5"/>
              </w:numPr>
              <w:shd w:val="clear" w:color="auto" w:fill="FFFFFF"/>
              <w:tabs>
                <w:tab w:val="left" w:pos="515"/>
              </w:tabs>
              <w:spacing w:before="0" w:after="0"/>
              <w:rPr>
                <w:color w:val="000000"/>
              </w:rPr>
            </w:pPr>
            <w:r w:rsidRPr="00876122">
              <w:rPr>
                <w:color w:val="000000"/>
              </w:rPr>
              <w:t xml:space="preserve">Increased ability to use digital justice </w:t>
            </w:r>
            <w:proofErr w:type="gramStart"/>
            <w:r w:rsidRPr="00876122">
              <w:rPr>
                <w:color w:val="000000"/>
              </w:rPr>
              <w:t>tools;</w:t>
            </w:r>
            <w:proofErr w:type="gramEnd"/>
          </w:p>
          <w:p w14:paraId="6DFE49DB" w14:textId="77777777" w:rsidR="00F47FDE" w:rsidRPr="00876122" w:rsidRDefault="00F47FDE" w:rsidP="00EC0AFD">
            <w:pPr>
              <w:numPr>
                <w:ilvl w:val="0"/>
                <w:numId w:val="5"/>
              </w:numPr>
              <w:shd w:val="clear" w:color="auto" w:fill="FFFFFF"/>
              <w:tabs>
                <w:tab w:val="left" w:pos="515"/>
              </w:tabs>
              <w:spacing w:before="0" w:after="0"/>
              <w:rPr>
                <w:color w:val="000000"/>
              </w:rPr>
            </w:pPr>
            <w:r w:rsidRPr="00876122">
              <w:rPr>
                <w:color w:val="000000"/>
              </w:rPr>
              <w:t xml:space="preserve">Increased knowledge of the European standards on the rule of </w:t>
            </w:r>
            <w:proofErr w:type="gramStart"/>
            <w:r w:rsidRPr="00876122">
              <w:rPr>
                <w:color w:val="000000"/>
              </w:rPr>
              <w:t>law;</w:t>
            </w:r>
            <w:proofErr w:type="gramEnd"/>
          </w:p>
          <w:p w14:paraId="4F64392A" w14:textId="77777777" w:rsidR="00F47FDE" w:rsidRPr="00876122" w:rsidRDefault="00F47FDE" w:rsidP="00EC0AFD">
            <w:pPr>
              <w:numPr>
                <w:ilvl w:val="0"/>
                <w:numId w:val="5"/>
              </w:numPr>
              <w:shd w:val="clear" w:color="auto" w:fill="FFFFFF"/>
              <w:tabs>
                <w:tab w:val="left" w:pos="515"/>
              </w:tabs>
              <w:spacing w:before="0" w:after="0"/>
              <w:rPr>
                <w:color w:val="000000"/>
              </w:rPr>
            </w:pPr>
            <w:r w:rsidRPr="00876122">
              <w:rPr>
                <w:color w:val="000000"/>
              </w:rPr>
              <w:t>Improved mutual trust between justice professionals in cross-border judicial cooperation.</w:t>
            </w:r>
          </w:p>
          <w:p w14:paraId="52F1DB98" w14:textId="77777777" w:rsidR="00F47FDE" w:rsidRPr="00876122" w:rsidRDefault="00F47FDE" w:rsidP="00F47FDE">
            <w:pPr>
              <w:shd w:val="clear" w:color="auto" w:fill="FFFFFF"/>
              <w:spacing w:before="0" w:after="0" w:line="288" w:lineRule="auto"/>
              <w:jc w:val="left"/>
              <w:rPr>
                <w:b/>
                <w:bCs/>
                <w:smallCaps/>
                <w:color w:val="000000"/>
                <w:sz w:val="20"/>
                <w:szCs w:val="20"/>
              </w:rPr>
            </w:pPr>
          </w:p>
        </w:tc>
      </w:tr>
    </w:tbl>
    <w:p w14:paraId="17DB4A26" w14:textId="77777777" w:rsidR="00F47FDE" w:rsidRPr="00876122" w:rsidRDefault="00F47FDE" w:rsidP="00FA563B">
      <w:pPr>
        <w:widowControl w:val="0"/>
        <w:shd w:val="clear" w:color="auto" w:fill="FFFFFF"/>
        <w:spacing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Implementation</w:t>
      </w:r>
    </w:p>
    <w:p w14:paraId="52B83F7D" w14:textId="77777777" w:rsidR="00F47FDE" w:rsidRPr="00876122" w:rsidRDefault="00F47FDE" w:rsidP="008B3AEC">
      <w:pPr>
        <w:widowControl w:val="0"/>
        <w:pBdr>
          <w:top w:val="single" w:sz="4" w:space="0" w:color="auto"/>
          <w:left w:val="single" w:sz="4" w:space="0" w:color="auto"/>
          <w:bottom w:val="single" w:sz="4" w:space="0" w:color="auto"/>
          <w:right w:val="single" w:sz="4" w:space="0" w:color="auto"/>
        </w:pBdr>
        <w:shd w:val="clear" w:color="auto" w:fill="FFFFFF"/>
        <w:spacing w:before="0" w:after="0"/>
        <w:rPr>
          <w:rFonts w:eastAsia="Times New Roman"/>
          <w:color w:val="000000"/>
          <w:szCs w:val="24"/>
          <w:lang w:eastAsia="hr-HR" w:bidi="hr-HR"/>
        </w:rPr>
      </w:pPr>
      <w:r w:rsidRPr="00876122">
        <w:rPr>
          <w:rFonts w:eastAsia="Times New Roman"/>
          <w:color w:val="000000"/>
          <w:szCs w:val="24"/>
          <w:lang w:eastAsia="hr-HR" w:bidi="hr-HR"/>
        </w:rPr>
        <w:t>Direct management by DG JUST and, where indicated, by DGT based on a co-delegation.</w:t>
      </w:r>
    </w:p>
    <w:p w14:paraId="01687448" w14:textId="00F54DF5" w:rsidR="00F47FDE" w:rsidRDefault="00F47FDE" w:rsidP="008B3AEC">
      <w:pPr>
        <w:widowControl w:val="0"/>
        <w:pBdr>
          <w:top w:val="single" w:sz="4" w:space="0" w:color="auto"/>
          <w:left w:val="single" w:sz="4" w:space="0" w:color="auto"/>
          <w:bottom w:val="single" w:sz="4" w:space="0" w:color="auto"/>
          <w:right w:val="single" w:sz="4" w:space="0" w:color="auto"/>
        </w:pBdr>
        <w:shd w:val="clear" w:color="auto" w:fill="FFFFFF"/>
        <w:spacing w:before="0" w:after="0"/>
        <w:jc w:val="left"/>
        <w:rPr>
          <w:rFonts w:eastAsia="Times New Roman"/>
          <w:color w:val="000000"/>
          <w:szCs w:val="24"/>
          <w:lang w:eastAsia="hr-HR" w:bidi="hr-HR"/>
        </w:rPr>
      </w:pPr>
      <w:r w:rsidRPr="00876122">
        <w:rPr>
          <w:rFonts w:eastAsia="Times New Roman"/>
          <w:color w:val="000000"/>
          <w:szCs w:val="24"/>
          <w:lang w:eastAsia="hr-HR" w:bidi="hr-HR"/>
        </w:rPr>
        <w:t xml:space="preserve">Other co-delegations might also </w:t>
      </w:r>
      <w:r w:rsidR="008A352F">
        <w:rPr>
          <w:rFonts w:eastAsia="Times New Roman"/>
          <w:color w:val="000000"/>
          <w:szCs w:val="24"/>
          <w:lang w:eastAsia="hr-HR" w:bidi="hr-HR"/>
        </w:rPr>
        <w:t xml:space="preserve">be </w:t>
      </w:r>
      <w:r w:rsidRPr="00876122">
        <w:rPr>
          <w:rFonts w:eastAsia="Times New Roman"/>
          <w:color w:val="000000"/>
          <w:szCs w:val="24"/>
          <w:lang w:eastAsia="hr-HR" w:bidi="hr-HR"/>
        </w:rPr>
        <w:t>used, if needed.</w:t>
      </w:r>
    </w:p>
    <w:p w14:paraId="1F431D4C" w14:textId="6B2E9B85" w:rsidR="008B3AEC" w:rsidRDefault="008B3AEC" w:rsidP="008B3AEC">
      <w:pPr>
        <w:widowControl w:val="0"/>
        <w:pBdr>
          <w:top w:val="single" w:sz="4" w:space="0" w:color="auto"/>
          <w:left w:val="single" w:sz="4" w:space="0" w:color="auto"/>
          <w:bottom w:val="single" w:sz="4" w:space="0" w:color="auto"/>
          <w:right w:val="single" w:sz="4" w:space="0" w:color="auto"/>
        </w:pBdr>
        <w:shd w:val="clear" w:color="auto" w:fill="FFFFFF"/>
        <w:spacing w:before="0" w:after="0"/>
        <w:rPr>
          <w:rFonts w:eastAsia="Times New Roman"/>
          <w:color w:val="000000"/>
          <w:szCs w:val="24"/>
          <w:lang w:eastAsia="hr-HR" w:bidi="hr-HR"/>
        </w:rPr>
      </w:pPr>
      <w:r w:rsidRPr="008B3AEC">
        <w:rPr>
          <w:rFonts w:eastAsia="Times New Roman"/>
          <w:color w:val="000000"/>
          <w:szCs w:val="24"/>
          <w:lang w:eastAsia="hr-HR" w:bidi="hr-HR"/>
        </w:rPr>
        <w:t xml:space="preserve">If the Commission estimates that some policy actions foreseen under procurement would be better implemented </w:t>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taking into account the evolution of the policy context </w:t>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through indirect management, then contribution agreements following a proposal for action, including a request </w:t>
      </w:r>
      <w:r w:rsidRPr="008B3AEC">
        <w:rPr>
          <w:rFonts w:eastAsia="Times New Roman"/>
          <w:color w:val="000000"/>
          <w:szCs w:val="24"/>
          <w:lang w:eastAsia="hr-HR" w:bidi="hr-HR"/>
        </w:rPr>
        <w:lastRenderedPageBreak/>
        <w:t xml:space="preserve">for funding, submitted to the Commission by one of the eligible entities working in the area of judicial cooperation in civil and criminal matters may be concluded in accordance with Title VI ‘Indirect management’ of the Financial Regulation. This concerns organisations which have been subject to an ex-ante assessment pursuant to Article </w:t>
      </w:r>
      <w:r w:rsidRPr="008B3AEC">
        <w:rPr>
          <w:rFonts w:eastAsia="Times New Roman"/>
          <w:color w:val="000000"/>
          <w:szCs w:val="24"/>
          <w:lang w:eastAsia="bg-BG" w:bidi="bg-BG"/>
        </w:rPr>
        <w:t xml:space="preserve">157 </w:t>
      </w:r>
      <w:r w:rsidRPr="008B3AEC">
        <w:rPr>
          <w:rFonts w:eastAsia="Times New Roman"/>
          <w:color w:val="000000"/>
          <w:szCs w:val="24"/>
          <w:lang w:eastAsia="hr-HR" w:bidi="hr-HR"/>
        </w:rPr>
        <w:t xml:space="preserve">of the Financial Regulation, including those that are signatories of a framework partnership agreement concluded with the Commission pursuant to Art. 4 of Regulation (EU) </w:t>
      </w:r>
      <w:r w:rsidRPr="008B3AEC">
        <w:rPr>
          <w:rFonts w:eastAsia="Times New Roman"/>
          <w:color w:val="000000"/>
          <w:szCs w:val="24"/>
          <w:lang w:eastAsia="bg-BG" w:bidi="bg-BG"/>
        </w:rPr>
        <w:t>2016/369</w:t>
      </w:r>
      <w:r w:rsidRPr="008B3AEC">
        <w:rPr>
          <w:rStyle w:val="FootnoteReference"/>
          <w:rFonts w:eastAsia="Times New Roman"/>
          <w:color w:val="000000"/>
          <w:szCs w:val="24"/>
          <w:lang w:eastAsia="bg-BG" w:bidi="bg-BG"/>
        </w:rPr>
        <w:footnoteReference w:id="43"/>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or those that are covered by the Financial and Administrative Framework Agreement concluded with the United Nations. Such organisations will have to demonstrate specific technical competence and experience appropriate for the action </w:t>
      </w:r>
      <w:proofErr w:type="gramStart"/>
      <w:r w:rsidRPr="008B3AEC">
        <w:rPr>
          <w:rFonts w:eastAsia="Times New Roman"/>
          <w:color w:val="000000"/>
          <w:szCs w:val="24"/>
          <w:lang w:eastAsia="hr-HR" w:bidi="hr-HR"/>
        </w:rPr>
        <w:t>in the area of</w:t>
      </w:r>
      <w:proofErr w:type="gramEnd"/>
      <w:r w:rsidRPr="008B3AEC">
        <w:rPr>
          <w:rFonts w:eastAsia="Times New Roman"/>
          <w:color w:val="000000"/>
          <w:szCs w:val="24"/>
          <w:lang w:eastAsia="hr-HR" w:bidi="hr-HR"/>
        </w:rPr>
        <w:t xml:space="preserve"> judicial cooperation in civil and criminal matters and must have the know-how, qualifications and resources to successfully implement the actions. This capacity will be assessed together with the ‘Quality’ entrustment requirements, </w:t>
      </w:r>
      <w:proofErr w:type="gramStart"/>
      <w:r w:rsidRPr="008B3AEC">
        <w:rPr>
          <w:rFonts w:eastAsia="Times New Roman"/>
          <w:color w:val="000000"/>
          <w:szCs w:val="24"/>
          <w:lang w:eastAsia="hr-HR" w:bidi="hr-HR"/>
        </w:rPr>
        <w:t>on the basis of</w:t>
      </w:r>
      <w:proofErr w:type="gramEnd"/>
      <w:r w:rsidRPr="008B3AEC">
        <w:rPr>
          <w:rFonts w:eastAsia="Times New Roman"/>
          <w:color w:val="000000"/>
          <w:szCs w:val="24"/>
          <w:lang w:eastAsia="hr-HR" w:bidi="hr-HR"/>
        </w:rPr>
        <w:t xml:space="preserve"> the competence and experience of the organisation and their project team, including operational resources (human, technical and other). The proposal for the action and request of funding will be assessed based on the relevance of the action against the objectives of the </w:t>
      </w:r>
      <w:r w:rsidR="000C632E">
        <w:rPr>
          <w:rFonts w:eastAsia="Times New Roman"/>
          <w:color w:val="000000"/>
          <w:szCs w:val="24"/>
          <w:lang w:eastAsia="hr-HR" w:bidi="hr-HR"/>
        </w:rPr>
        <w:t>P</w:t>
      </w:r>
      <w:r w:rsidRPr="008B3AEC">
        <w:rPr>
          <w:rFonts w:eastAsia="Times New Roman"/>
          <w:color w:val="000000"/>
          <w:szCs w:val="24"/>
          <w:lang w:eastAsia="hr-HR" w:bidi="hr-HR"/>
        </w:rPr>
        <w:t>rogramme, the quality of the action and its impact. 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(ODIHI), as well as agencies of the United Nations.</w:t>
      </w:r>
    </w:p>
    <w:p w14:paraId="21AE80B0" w14:textId="77777777" w:rsidR="008B3AEC" w:rsidRPr="00876122" w:rsidRDefault="008B3AEC"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640"/>
        <w:jc w:val="left"/>
        <w:rPr>
          <w:rFonts w:eastAsia="Times New Roman"/>
          <w:color w:val="000000"/>
          <w:szCs w:val="24"/>
          <w:lang w:eastAsia="hr-HR" w:bidi="hr-HR"/>
        </w:rPr>
      </w:pPr>
    </w:p>
    <w:p w14:paraId="1F41A7C7" w14:textId="036EB085" w:rsidR="00F47FDE" w:rsidRPr="00876122" w:rsidRDefault="00F47FDE" w:rsidP="00FA563B">
      <w:pPr>
        <w:pStyle w:val="Heading2"/>
        <w:rPr>
          <w:rFonts w:eastAsia="Times New Roman"/>
          <w:lang w:eastAsia="hr-HR" w:bidi="hr-HR"/>
        </w:rPr>
      </w:pPr>
      <w:bookmarkStart w:id="46" w:name="bookmark91"/>
      <w:bookmarkStart w:id="47" w:name="bookmark90"/>
      <w:bookmarkStart w:id="48" w:name="_Toc205461090"/>
      <w:r w:rsidRPr="00876122">
        <w:rPr>
          <w:rFonts w:eastAsia="Times New Roman"/>
          <w:lang w:eastAsia="hr-HR" w:bidi="hr-HR"/>
        </w:rPr>
        <w:t xml:space="preserve">Procurement activities under </w:t>
      </w:r>
      <w:r w:rsidRPr="0077603D">
        <w:rPr>
          <w:rFonts w:eastAsia="Times New Roman"/>
          <w:lang w:eastAsia="hr-HR" w:bidi="hr-HR"/>
        </w:rPr>
        <w:t>Specific objective: access to justice</w:t>
      </w:r>
      <w:bookmarkEnd w:id="46"/>
      <w:bookmarkEnd w:id="47"/>
      <w:bookmarkEnd w:id="48"/>
    </w:p>
    <w:p w14:paraId="34CE4AEC" w14:textId="77777777" w:rsidR="00F47FDE" w:rsidRPr="00876122" w:rsidRDefault="00F47FDE" w:rsidP="00F47FDE">
      <w:pPr>
        <w:widowControl w:val="0"/>
        <w:shd w:val="clear" w:color="auto" w:fill="FFFFFF"/>
        <w:spacing w:before="0" w:after="240" w:line="286"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tbl>
      <w:tblPr>
        <w:tblStyle w:val="TableGrid"/>
        <w:tblW w:w="0" w:type="auto"/>
        <w:tblLook w:val="04A0" w:firstRow="1" w:lastRow="0" w:firstColumn="1" w:lastColumn="0" w:noHBand="0" w:noVBand="1"/>
      </w:tblPr>
      <w:tblGrid>
        <w:gridCol w:w="9464"/>
      </w:tblGrid>
      <w:tr w:rsidR="00F47FDE" w:rsidRPr="00876122" w14:paraId="196CE08B" w14:textId="77777777" w:rsidTr="00EC0AFD">
        <w:tc>
          <w:tcPr>
            <w:tcW w:w="9464" w:type="dxa"/>
          </w:tcPr>
          <w:p w14:paraId="691D059A" w14:textId="52AE89FA" w:rsidR="00F47FDE" w:rsidRPr="00876122" w:rsidRDefault="00F47FDE" w:rsidP="00F47FDE">
            <w:pPr>
              <w:shd w:val="clear" w:color="auto" w:fill="FFFFFF"/>
              <w:spacing w:before="0" w:after="280"/>
              <w:rPr>
                <w:color w:val="000000"/>
              </w:rPr>
            </w:pPr>
            <w:r w:rsidRPr="00876122">
              <w:rPr>
                <w:color w:val="000000"/>
              </w:rPr>
              <w:t>Art</w:t>
            </w:r>
            <w:r w:rsidR="00DE1B36">
              <w:rPr>
                <w:color w:val="000000"/>
              </w:rPr>
              <w:t>icle</w:t>
            </w:r>
            <w:r w:rsidR="00876122">
              <w:rPr>
                <w:color w:val="000000"/>
              </w:rPr>
              <w:t> </w:t>
            </w:r>
            <w:r w:rsidRPr="00876122">
              <w:rPr>
                <w:color w:val="000000"/>
              </w:rPr>
              <w:t xml:space="preserve">3(2)(c) </w:t>
            </w:r>
            <w:r w:rsidR="00283534">
              <w:rPr>
                <w:color w:val="000000"/>
              </w:rPr>
              <w:t xml:space="preserve">of </w:t>
            </w:r>
            <w:r w:rsidRPr="00876122">
              <w:rPr>
                <w:color w:val="000000"/>
              </w:rPr>
              <w:t xml:space="preserve">Regulation (EU) </w:t>
            </w:r>
            <w:r w:rsidRPr="00876122">
              <w:rPr>
                <w:color w:val="000000"/>
                <w:lang w:eastAsia="bg-BG" w:bidi="bg-BG"/>
              </w:rPr>
              <w:t xml:space="preserve">2021/693 </w:t>
            </w:r>
          </w:p>
        </w:tc>
      </w:tr>
    </w:tbl>
    <w:p w14:paraId="68EFA57F" w14:textId="77777777" w:rsidR="00F47FDE" w:rsidRPr="00876122" w:rsidRDefault="00F47FDE" w:rsidP="00FA563B">
      <w:pPr>
        <w:widowControl w:val="0"/>
        <w:shd w:val="clear" w:color="auto" w:fill="FFFFFF"/>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Budget line</w:t>
      </w:r>
    </w:p>
    <w:p w14:paraId="20E3D2E5"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jc w:val="left"/>
        <w:rPr>
          <w:rFonts w:eastAsia="Times New Roman"/>
          <w:color w:val="000000"/>
          <w:szCs w:val="24"/>
          <w:lang w:eastAsia="hr-HR" w:bidi="hr-HR"/>
        </w:rPr>
      </w:pPr>
      <w:r w:rsidRPr="00876122">
        <w:rPr>
          <w:rFonts w:eastAsia="Times New Roman"/>
          <w:color w:val="000000"/>
          <w:szCs w:val="24"/>
          <w:lang w:eastAsia="hr-HR" w:bidi="hr-HR"/>
        </w:rPr>
        <w:t xml:space="preserve">Budget line </w:t>
      </w:r>
      <w:r w:rsidRPr="00876122">
        <w:rPr>
          <w:rFonts w:eastAsia="Times New Roman"/>
          <w:color w:val="000000"/>
          <w:szCs w:val="24"/>
          <w:lang w:eastAsia="bg-BG" w:bidi="bg-BG"/>
        </w:rPr>
        <w:t xml:space="preserve">07 07 03: </w:t>
      </w:r>
      <w:r w:rsidRPr="00876122">
        <w:rPr>
          <w:rFonts w:eastAsia="Times New Roman"/>
          <w:color w:val="000000"/>
          <w:szCs w:val="24"/>
          <w:lang w:eastAsia="hr-HR" w:bidi="hr-HR"/>
        </w:rPr>
        <w:t>Promoting effective access to justice</w:t>
      </w:r>
    </w:p>
    <w:p w14:paraId="5F1E4EF7"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w:t>
      </w:r>
    </w:p>
    <w:p w14:paraId="28C84747" w14:textId="3EAF4900" w:rsidR="00F47FDE" w:rsidRPr="00876122" w:rsidRDefault="00F47FDE" w:rsidP="00F47FDE">
      <w:pPr>
        <w:widowControl w:val="0"/>
        <w:pBdr>
          <w:top w:val="single" w:sz="4" w:space="0" w:color="auto"/>
          <w:left w:val="single" w:sz="4" w:space="9" w:color="auto"/>
          <w:bottom w:val="single" w:sz="4" w:space="0" w:color="auto"/>
          <w:right w:val="single" w:sz="4" w:space="0" w:color="auto"/>
        </w:pBdr>
        <w:shd w:val="clear" w:color="auto" w:fill="FFFFFF"/>
        <w:spacing w:before="0" w:after="280"/>
        <w:ind w:left="160"/>
        <w:rPr>
          <w:rFonts w:eastAsia="Times New Roman"/>
          <w:color w:val="000000"/>
          <w:szCs w:val="24"/>
          <w:lang w:eastAsia="hr-HR" w:bidi="hr-HR"/>
        </w:rPr>
      </w:pPr>
      <w:r w:rsidRPr="00876122">
        <w:rPr>
          <w:rFonts w:eastAsia="Times New Roman"/>
          <w:color w:val="000000"/>
          <w:szCs w:val="24"/>
          <w:lang w:eastAsia="hr-HR" w:bidi="hr-HR"/>
        </w:rPr>
        <w:t xml:space="preserve">Facilitate effective and non-discriminatory access to justice, </w:t>
      </w:r>
      <w:proofErr w:type="gramStart"/>
      <w:r w:rsidRPr="00876122">
        <w:rPr>
          <w:rFonts w:eastAsia="Times New Roman"/>
          <w:color w:val="000000"/>
          <w:szCs w:val="24"/>
          <w:lang w:eastAsia="hr-HR" w:bidi="hr-HR"/>
        </w:rPr>
        <w:t>in particular by</w:t>
      </w:r>
      <w:proofErr w:type="gramEnd"/>
      <w:r w:rsidRPr="00876122">
        <w:rPr>
          <w:rFonts w:eastAsia="Times New Roman"/>
          <w:color w:val="000000"/>
          <w:szCs w:val="24"/>
          <w:lang w:eastAsia="hr-HR" w:bidi="hr-HR"/>
        </w:rPr>
        <w:t xml:space="preserve"> digital means, by promoting efficient civil and criminal procedures, by promoting and supporting the rights of all victims of crime as well as the procedural rights of suspects and accused persons in criminal proceedings.</w:t>
      </w:r>
    </w:p>
    <w:p w14:paraId="266337B3" w14:textId="77777777" w:rsidR="00F47FDE" w:rsidRPr="00876122" w:rsidRDefault="00F47FDE" w:rsidP="00F47FDE">
      <w:pPr>
        <w:widowControl w:val="0"/>
        <w:shd w:val="clear" w:color="auto" w:fill="FFFFFF"/>
        <w:spacing w:before="0" w:after="24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 of the activities and contracts</w:t>
      </w:r>
    </w:p>
    <w:p w14:paraId="475C9DC0" w14:textId="7441C61F"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highlight w:val="yellow"/>
          <w:lang w:eastAsia="hr-HR" w:bidi="hr-HR"/>
        </w:rPr>
      </w:pPr>
      <w:r w:rsidRPr="00876122">
        <w:rPr>
          <w:rFonts w:eastAsia="Times New Roman"/>
          <w:color w:val="000000"/>
          <w:szCs w:val="24"/>
          <w:lang w:eastAsia="hr-HR" w:bidi="hr-HR"/>
        </w:rPr>
        <w:t xml:space="preserve">In </w:t>
      </w:r>
      <w:r w:rsidRPr="00876122">
        <w:rPr>
          <w:rFonts w:eastAsia="Times New Roman"/>
          <w:color w:val="000000"/>
          <w:szCs w:val="24"/>
          <w:lang w:eastAsia="bg-BG" w:bidi="bg-BG"/>
        </w:rPr>
        <w:t xml:space="preserve">2026 and 2027, </w:t>
      </w:r>
      <w:r w:rsidRPr="00876122">
        <w:rPr>
          <w:rFonts w:eastAsia="Times New Roman"/>
          <w:color w:val="000000"/>
          <w:szCs w:val="24"/>
          <w:lang w:eastAsia="hr-HR" w:bidi="hr-HR"/>
        </w:rPr>
        <w:t xml:space="preserve">the Commission intends to undertake actions through contracts following public procurement (open calls for tenders and framework contracts). The types of activities funded may include the following: </w:t>
      </w:r>
      <w:r w:rsidR="00B57AA2">
        <w:rPr>
          <w:rFonts w:eastAsia="Times New Roman"/>
          <w:color w:val="000000"/>
          <w:szCs w:val="24"/>
          <w:lang w:eastAsia="hr-HR" w:bidi="hr-HR"/>
        </w:rPr>
        <w:t>(</w:t>
      </w:r>
      <w:proofErr w:type="spellStart"/>
      <w:r w:rsidR="00B57AA2">
        <w:rPr>
          <w:rFonts w:eastAsia="Times New Roman"/>
          <w:color w:val="000000"/>
          <w:szCs w:val="24"/>
          <w:lang w:eastAsia="hr-HR" w:bidi="hr-HR"/>
        </w:rPr>
        <w:t>i</w:t>
      </w:r>
      <w:proofErr w:type="spellEnd"/>
      <w:r w:rsidR="00B57AA2">
        <w:rPr>
          <w:rFonts w:eastAsia="Times New Roman"/>
          <w:color w:val="000000"/>
          <w:szCs w:val="24"/>
          <w:lang w:eastAsia="hr-HR" w:bidi="hr-HR"/>
        </w:rPr>
        <w:t xml:space="preserve">) </w:t>
      </w:r>
      <w:r w:rsidRPr="00876122">
        <w:rPr>
          <w:rFonts w:eastAsia="Times New Roman"/>
          <w:color w:val="000000"/>
          <w:szCs w:val="24"/>
          <w:lang w:eastAsia="hr-HR" w:bidi="hr-HR"/>
        </w:rPr>
        <w:t>conferences, expert meetings, meetings of committees in support of implementing U</w:t>
      </w:r>
      <w:r w:rsidR="00DF6207">
        <w:rPr>
          <w:rFonts w:eastAsia="Times New Roman"/>
          <w:color w:val="000000"/>
          <w:szCs w:val="24"/>
          <w:lang w:eastAsia="hr-HR" w:bidi="hr-HR"/>
        </w:rPr>
        <w:t>nion</w:t>
      </w:r>
      <w:r w:rsidRPr="00876122">
        <w:rPr>
          <w:rFonts w:eastAsia="Times New Roman"/>
          <w:color w:val="000000"/>
          <w:szCs w:val="24"/>
          <w:lang w:eastAsia="hr-HR" w:bidi="hr-HR"/>
        </w:rPr>
        <w:t xml:space="preserve"> legislative acts, </w:t>
      </w:r>
      <w:r w:rsidRPr="00876122" w:rsidDel="002455F5">
        <w:rPr>
          <w:rFonts w:eastAsia="Times New Roman"/>
          <w:color w:val="000000"/>
          <w:szCs w:val="24"/>
          <w:lang w:eastAsia="hr-HR" w:bidi="hr-HR"/>
        </w:rPr>
        <w:t>seminars, communication activities;</w:t>
      </w:r>
      <w:r w:rsidR="00B57AA2">
        <w:rPr>
          <w:rFonts w:eastAsia="Times New Roman"/>
          <w:color w:val="000000"/>
          <w:szCs w:val="24"/>
          <w:lang w:eastAsia="hr-HR" w:bidi="hr-HR"/>
        </w:rPr>
        <w:t xml:space="preserve"> (ii)</w:t>
      </w:r>
      <w:r w:rsidRPr="00876122" w:rsidDel="002455F5">
        <w:rPr>
          <w:rFonts w:eastAsia="Times New Roman"/>
          <w:color w:val="000000"/>
          <w:szCs w:val="24"/>
          <w:lang w:eastAsia="hr-HR" w:bidi="hr-HR"/>
        </w:rPr>
        <w:t xml:space="preserve"> development and maintenance of IT platforms and systems, creation of </w:t>
      </w:r>
      <w:r w:rsidRPr="00876122">
        <w:rPr>
          <w:rFonts w:eastAsia="Times New Roman"/>
          <w:color w:val="000000"/>
          <w:szCs w:val="24"/>
          <w:lang w:eastAsia="hr-HR" w:bidi="hr-HR"/>
        </w:rPr>
        <w:t xml:space="preserve">platforms to collect and exchange information on the state of digitalisation of justice in Member States </w:t>
      </w:r>
      <w:r w:rsidRPr="00876122" w:rsidDel="002455F5">
        <w:rPr>
          <w:rFonts w:eastAsia="Times New Roman"/>
          <w:color w:val="000000"/>
          <w:szCs w:val="24"/>
          <w:lang w:eastAsia="hr-HR" w:bidi="hr-HR"/>
        </w:rPr>
        <w:t xml:space="preserve">and </w:t>
      </w:r>
      <w:r w:rsidRPr="00876122">
        <w:rPr>
          <w:rFonts w:eastAsia="Times New Roman"/>
          <w:color w:val="000000"/>
          <w:szCs w:val="24"/>
          <w:lang w:eastAsia="hr-HR" w:bidi="hr-HR"/>
        </w:rPr>
        <w:t xml:space="preserve">identify needs in the area of </w:t>
      </w:r>
      <w:r w:rsidR="00B57AA2">
        <w:rPr>
          <w:rFonts w:eastAsia="Times New Roman"/>
          <w:color w:val="000000"/>
          <w:szCs w:val="24"/>
          <w:lang w:eastAsia="hr-HR" w:bidi="hr-HR"/>
        </w:rPr>
        <w:t>a</w:t>
      </w:r>
      <w:r w:rsidRPr="00876122">
        <w:rPr>
          <w:rFonts w:eastAsia="Times New Roman"/>
          <w:color w:val="000000"/>
          <w:szCs w:val="24"/>
          <w:lang w:eastAsia="hr-HR" w:bidi="hr-HR"/>
        </w:rPr>
        <w:t xml:space="preserve">rtificial </w:t>
      </w:r>
      <w:r w:rsidR="00B57AA2">
        <w:rPr>
          <w:rFonts w:eastAsia="Times New Roman"/>
          <w:color w:val="000000"/>
          <w:szCs w:val="24"/>
          <w:lang w:eastAsia="hr-HR" w:bidi="hr-HR"/>
        </w:rPr>
        <w:t>i</w:t>
      </w:r>
      <w:r w:rsidRPr="00876122">
        <w:rPr>
          <w:rFonts w:eastAsia="Times New Roman"/>
          <w:color w:val="000000"/>
          <w:szCs w:val="24"/>
          <w:lang w:eastAsia="hr-HR" w:bidi="hr-HR"/>
        </w:rPr>
        <w:t>ntelligence</w:t>
      </w:r>
      <w:r w:rsidR="00283534">
        <w:rPr>
          <w:rFonts w:eastAsia="Times New Roman"/>
          <w:color w:val="000000"/>
          <w:szCs w:val="24"/>
          <w:lang w:eastAsia="hr-HR" w:bidi="hr-HR"/>
        </w:rPr>
        <w:t xml:space="preserve"> (AI)</w:t>
      </w:r>
      <w:r w:rsidRPr="00876122">
        <w:rPr>
          <w:rFonts w:eastAsia="Times New Roman"/>
          <w:color w:val="000000"/>
          <w:szCs w:val="24"/>
          <w:lang w:eastAsia="hr-HR" w:bidi="hr-HR"/>
        </w:rPr>
        <w:t xml:space="preserve">; </w:t>
      </w:r>
      <w:r w:rsidR="00B57AA2">
        <w:rPr>
          <w:rFonts w:eastAsia="Times New Roman"/>
          <w:color w:val="000000"/>
          <w:szCs w:val="24"/>
          <w:lang w:eastAsia="hr-HR" w:bidi="hr-HR"/>
        </w:rPr>
        <w:t xml:space="preserve">(iii) </w:t>
      </w:r>
      <w:r w:rsidRPr="00876122" w:rsidDel="004B289A">
        <w:rPr>
          <w:rFonts w:eastAsia="Times New Roman"/>
          <w:color w:val="000000"/>
          <w:szCs w:val="24"/>
          <w:lang w:eastAsia="hr-HR" w:bidi="hr-HR"/>
        </w:rPr>
        <w:t xml:space="preserve">activities related to </w:t>
      </w:r>
      <w:r w:rsidRPr="00E60B3D" w:rsidDel="004B289A">
        <w:rPr>
          <w:rFonts w:eastAsia="Times New Roman"/>
          <w:color w:val="000000"/>
          <w:szCs w:val="24"/>
          <w:lang w:eastAsia="hr-HR" w:bidi="hr-HR"/>
        </w:rPr>
        <w:t>the EU</w:t>
      </w:r>
      <w:r w:rsidR="00283534">
        <w:rPr>
          <w:rFonts w:eastAsia="Times New Roman"/>
          <w:color w:val="000000"/>
          <w:szCs w:val="24"/>
          <w:lang w:eastAsia="hr-HR" w:bidi="hr-HR"/>
        </w:rPr>
        <w:t>-wide</w:t>
      </w:r>
      <w:r w:rsidRPr="00876122" w:rsidDel="004B289A">
        <w:rPr>
          <w:rFonts w:eastAsia="Times New Roman"/>
          <w:color w:val="000000"/>
          <w:szCs w:val="24"/>
          <w:lang w:eastAsia="hr-HR" w:bidi="hr-HR"/>
        </w:rPr>
        <w:t xml:space="preserve"> awareness-</w:t>
      </w:r>
      <w:r w:rsidRPr="00876122" w:rsidDel="004B289A">
        <w:rPr>
          <w:rFonts w:eastAsia="Times New Roman"/>
          <w:color w:val="000000"/>
          <w:szCs w:val="24"/>
          <w:lang w:eastAsia="hr-HR" w:bidi="hr-HR"/>
        </w:rPr>
        <w:lastRenderedPageBreak/>
        <w:t xml:space="preserve">raising campaign on victims’ rights; </w:t>
      </w:r>
      <w:r w:rsidR="00CB362F">
        <w:rPr>
          <w:rFonts w:eastAsia="Times New Roman"/>
          <w:color w:val="000000"/>
          <w:szCs w:val="24"/>
          <w:lang w:eastAsia="hr-HR" w:bidi="hr-HR"/>
        </w:rPr>
        <w:t xml:space="preserve">(iv) </w:t>
      </w:r>
      <w:r w:rsidRPr="00876122" w:rsidDel="004B289A">
        <w:rPr>
          <w:rFonts w:eastAsia="Times New Roman"/>
          <w:color w:val="000000"/>
          <w:szCs w:val="24"/>
          <w:lang w:eastAsia="hr-HR" w:bidi="hr-HR"/>
        </w:rPr>
        <w:t xml:space="preserve">studies and impact assessments in particular to prepare, or accompany, new legislation or respond to policy changes in the area of access to justice (e.g. </w:t>
      </w:r>
      <w:r w:rsidRPr="00876122">
        <w:rPr>
          <w:rFonts w:eastAsia="Times New Roman"/>
          <w:color w:val="000000"/>
          <w:szCs w:val="24"/>
          <w:lang w:bidi="en-US"/>
        </w:rPr>
        <w:softHyphen/>
        <w:t>e-Justice</w:t>
      </w:r>
      <w:r w:rsidRPr="00876122" w:rsidDel="002455F5">
        <w:rPr>
          <w:rFonts w:eastAsia="Times New Roman"/>
          <w:color w:val="000000"/>
          <w:szCs w:val="24"/>
          <w:lang w:eastAsia="hr-HR" w:bidi="hr-HR"/>
        </w:rPr>
        <w:t xml:space="preserve"> portal, organisation of conferences or other events with the Council Presidencies</w:t>
      </w:r>
      <w:r w:rsidRPr="00876122">
        <w:rPr>
          <w:rFonts w:eastAsia="Times New Roman"/>
          <w:color w:val="000000"/>
          <w:szCs w:val="24"/>
          <w:lang w:eastAsia="hr-HR" w:bidi="hr-HR"/>
        </w:rPr>
        <w:t>).</w:t>
      </w:r>
    </w:p>
    <w:p w14:paraId="471CB2C7" w14:textId="2953AA03" w:rsidR="00F47FDE" w:rsidRPr="008B3AEC"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Along </w:t>
      </w:r>
      <w:r w:rsidRPr="008962C8">
        <w:rPr>
          <w:rFonts w:eastAsia="Times New Roman"/>
          <w:color w:val="000000"/>
          <w:szCs w:val="24"/>
          <w:lang w:eastAsia="hr-HR" w:bidi="hr-HR"/>
        </w:rPr>
        <w:t xml:space="preserve">with the existing, new framework contracts may be envisaged especially in support to the </w:t>
      </w:r>
      <w:r w:rsidRPr="008B3AEC">
        <w:rPr>
          <w:rFonts w:eastAsia="Times New Roman"/>
          <w:color w:val="000000"/>
          <w:szCs w:val="24"/>
          <w:lang w:eastAsia="hr-HR" w:bidi="hr-HR"/>
        </w:rPr>
        <w:t>organisation of workshops and policy meetings, on evaluation, impact assessment and related policy support services as well as of policy work on access to justice.</w:t>
      </w:r>
    </w:p>
    <w:p w14:paraId="1F5A46A1" w14:textId="77777777" w:rsidR="00EB3203" w:rsidRDefault="00EB3203" w:rsidP="00F47FDE">
      <w:pPr>
        <w:widowControl w:val="0"/>
        <w:shd w:val="clear" w:color="auto" w:fill="FFFFFF"/>
        <w:spacing w:before="0" w:after="40" w:line="288" w:lineRule="auto"/>
        <w:rPr>
          <w:rFonts w:eastAsia="Times New Roman"/>
          <w:b/>
          <w:bCs/>
          <w:smallCaps/>
          <w:color w:val="000000"/>
          <w:sz w:val="20"/>
          <w:szCs w:val="20"/>
          <w:lang w:eastAsia="hr-HR" w:bidi="hr-HR"/>
        </w:rPr>
      </w:pPr>
    </w:p>
    <w:p w14:paraId="66721A20" w14:textId="3DC08FD2" w:rsidR="00F47FDE" w:rsidRPr="00876122" w:rsidRDefault="00F47FDE" w:rsidP="00F47FDE">
      <w:pPr>
        <w:widowControl w:val="0"/>
        <w:shd w:val="clear" w:color="auto" w:fill="FFFFFF"/>
        <w:spacing w:before="0" w:after="40" w:line="288" w:lineRule="auto"/>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p w14:paraId="42611D29" w14:textId="77777777" w:rsidR="00F47FDE" w:rsidRPr="00283534" w:rsidRDefault="00F47FDE" w:rsidP="00EC0AFD">
      <w:pPr>
        <w:pStyle w:val="ListParagraph"/>
        <w:widowControl w:val="0"/>
        <w:numPr>
          <w:ilvl w:val="0"/>
          <w:numId w:val="44"/>
        </w:numPr>
        <w:pBdr>
          <w:top w:val="single" w:sz="4" w:space="0" w:color="auto"/>
          <w:left w:val="single" w:sz="4" w:space="22" w:color="auto"/>
          <w:bottom w:val="single" w:sz="4" w:space="0" w:color="auto"/>
          <w:right w:val="single" w:sz="4" w:space="0" w:color="auto"/>
        </w:pBdr>
        <w:shd w:val="clear" w:color="auto" w:fill="FFFFFF"/>
        <w:tabs>
          <w:tab w:val="left" w:pos="355"/>
        </w:tabs>
        <w:spacing w:before="0" w:after="0"/>
        <w:rPr>
          <w:rFonts w:eastAsia="Times New Roman"/>
          <w:color w:val="000000"/>
          <w:szCs w:val="24"/>
          <w:lang w:eastAsia="hr-HR" w:bidi="hr-HR"/>
        </w:rPr>
      </w:pPr>
      <w:r w:rsidRPr="00283534">
        <w:rPr>
          <w:rFonts w:eastAsia="Times New Roman"/>
          <w:color w:val="000000"/>
          <w:szCs w:val="24"/>
          <w:lang w:eastAsia="hr-HR" w:bidi="hr-HR"/>
        </w:rPr>
        <w:t xml:space="preserve">Increased capacity of national practitioners to address issues related to the rights of victims of crime and to the rights of persons suspected or accused of </w:t>
      </w:r>
      <w:proofErr w:type="gramStart"/>
      <w:r w:rsidRPr="00283534">
        <w:rPr>
          <w:rFonts w:eastAsia="Times New Roman"/>
          <w:color w:val="000000"/>
          <w:szCs w:val="24"/>
          <w:lang w:eastAsia="hr-HR" w:bidi="hr-HR"/>
        </w:rPr>
        <w:t>crime;</w:t>
      </w:r>
      <w:proofErr w:type="gramEnd"/>
    </w:p>
    <w:p w14:paraId="22A87813" w14:textId="7FE161B4" w:rsidR="00F47FDE" w:rsidRPr="00283534" w:rsidRDefault="00F47FDE" w:rsidP="00EC0AFD">
      <w:pPr>
        <w:pStyle w:val="ListParagraph"/>
        <w:widowControl w:val="0"/>
        <w:numPr>
          <w:ilvl w:val="0"/>
          <w:numId w:val="44"/>
        </w:numPr>
        <w:pBdr>
          <w:top w:val="single" w:sz="4" w:space="0" w:color="auto"/>
          <w:left w:val="single" w:sz="4" w:space="22" w:color="auto"/>
          <w:bottom w:val="single" w:sz="4" w:space="0" w:color="auto"/>
          <w:right w:val="single" w:sz="4" w:space="0" w:color="auto"/>
        </w:pBdr>
        <w:shd w:val="clear" w:color="auto" w:fill="FFFFFF"/>
        <w:tabs>
          <w:tab w:val="left" w:pos="355"/>
        </w:tabs>
        <w:spacing w:before="0" w:after="0"/>
        <w:rPr>
          <w:rFonts w:eastAsia="Times New Roman"/>
          <w:color w:val="000000"/>
          <w:szCs w:val="24"/>
          <w:lang w:eastAsia="hr-HR" w:bidi="hr-HR"/>
        </w:rPr>
      </w:pPr>
      <w:r w:rsidRPr="00283534">
        <w:rPr>
          <w:rFonts w:eastAsia="Times New Roman"/>
          <w:color w:val="000000"/>
          <w:szCs w:val="24"/>
          <w:lang w:eastAsia="hr-HR" w:bidi="hr-HR"/>
        </w:rPr>
        <w:t>Improved knowledge o</w:t>
      </w:r>
      <w:r w:rsidR="00AA0274" w:rsidRPr="00283534">
        <w:rPr>
          <w:rFonts w:eastAsia="Times New Roman"/>
          <w:color w:val="000000"/>
          <w:szCs w:val="24"/>
          <w:lang w:eastAsia="hr-HR" w:bidi="hr-HR"/>
        </w:rPr>
        <w:t>f</w:t>
      </w:r>
      <w:r w:rsidRPr="00283534">
        <w:rPr>
          <w:rFonts w:eastAsia="Times New Roman"/>
          <w:color w:val="000000"/>
          <w:szCs w:val="24"/>
          <w:lang w:eastAsia="hr-HR" w:bidi="hr-HR"/>
        </w:rPr>
        <w:t xml:space="preserve"> the legislation and administrative practices related to specific provisions of the U</w:t>
      </w:r>
      <w:r w:rsidR="00DF6207">
        <w:rPr>
          <w:rFonts w:eastAsia="Times New Roman"/>
          <w:color w:val="000000"/>
          <w:szCs w:val="24"/>
          <w:lang w:eastAsia="hr-HR" w:bidi="hr-HR"/>
        </w:rPr>
        <w:t>nion</w:t>
      </w:r>
      <w:r w:rsidRPr="00283534">
        <w:rPr>
          <w:rFonts w:eastAsia="Times New Roman"/>
          <w:color w:val="000000"/>
          <w:szCs w:val="24"/>
          <w:lang w:eastAsia="hr-HR" w:bidi="hr-HR"/>
        </w:rPr>
        <w:t xml:space="preserve"> </w:t>
      </w:r>
      <w:r w:rsidR="00876122" w:rsidRPr="00283534">
        <w:rPr>
          <w:rFonts w:eastAsia="Times New Roman"/>
          <w:i/>
          <w:color w:val="000000"/>
          <w:szCs w:val="24"/>
          <w:lang w:eastAsia="hr-HR" w:bidi="hr-HR"/>
        </w:rPr>
        <w:t>acquis</w:t>
      </w:r>
      <w:r w:rsidRPr="00283534">
        <w:rPr>
          <w:rFonts w:eastAsia="Times New Roman"/>
          <w:color w:val="000000"/>
          <w:szCs w:val="24"/>
          <w:lang w:eastAsia="hr-HR" w:bidi="hr-HR"/>
        </w:rPr>
        <w:t xml:space="preserve"> regulating the rights of victims of crime and the rights of suspects and accused in criminal </w:t>
      </w:r>
      <w:proofErr w:type="gramStart"/>
      <w:r w:rsidRPr="00283534">
        <w:rPr>
          <w:rFonts w:eastAsia="Times New Roman"/>
          <w:color w:val="000000"/>
          <w:szCs w:val="24"/>
          <w:lang w:eastAsia="hr-HR" w:bidi="hr-HR"/>
        </w:rPr>
        <w:t>proceedings;</w:t>
      </w:r>
      <w:proofErr w:type="gramEnd"/>
    </w:p>
    <w:p w14:paraId="34134400" w14:textId="045EF710" w:rsidR="00F47FDE" w:rsidRPr="006D0DEC" w:rsidRDefault="00F47FDE" w:rsidP="00EC0AFD">
      <w:pPr>
        <w:pStyle w:val="ListParagraph"/>
        <w:widowControl w:val="0"/>
        <w:numPr>
          <w:ilvl w:val="0"/>
          <w:numId w:val="44"/>
        </w:numPr>
        <w:pBdr>
          <w:top w:val="single" w:sz="4" w:space="0" w:color="auto"/>
          <w:left w:val="single" w:sz="4" w:space="22" w:color="auto"/>
          <w:bottom w:val="single" w:sz="4" w:space="0" w:color="auto"/>
          <w:right w:val="single" w:sz="4" w:space="0" w:color="auto"/>
        </w:pBdr>
        <w:shd w:val="clear" w:color="auto" w:fill="FFFFFF"/>
        <w:tabs>
          <w:tab w:val="left" w:pos="355"/>
        </w:tabs>
        <w:spacing w:before="0" w:after="0"/>
        <w:rPr>
          <w:rFonts w:eastAsia="Times New Roman"/>
          <w:color w:val="000000"/>
          <w:szCs w:val="24"/>
          <w:lang w:eastAsia="hr-HR" w:bidi="hr-HR"/>
        </w:rPr>
      </w:pPr>
      <w:r w:rsidRPr="00283534">
        <w:rPr>
          <w:rFonts w:eastAsia="Times New Roman"/>
          <w:color w:val="000000"/>
          <w:szCs w:val="24"/>
          <w:lang w:eastAsia="hr-HR" w:bidi="hr-HR"/>
        </w:rPr>
        <w:t>Increased awareness</w:t>
      </w:r>
      <w:r w:rsidR="00127DA5">
        <w:rPr>
          <w:rFonts w:eastAsia="Times New Roman"/>
          <w:color w:val="000000"/>
          <w:szCs w:val="24"/>
          <w:lang w:eastAsia="hr-HR" w:bidi="hr-HR"/>
        </w:rPr>
        <w:t xml:space="preserve"> among</w:t>
      </w:r>
      <w:r w:rsidRPr="00283534">
        <w:rPr>
          <w:rFonts w:eastAsia="Times New Roman"/>
          <w:color w:val="000000"/>
          <w:szCs w:val="24"/>
          <w:lang w:eastAsia="hr-HR" w:bidi="hr-HR"/>
        </w:rPr>
        <w:t xml:space="preserve"> the relevant policy makers o</w:t>
      </w:r>
      <w:r w:rsidR="00D81FCD" w:rsidRPr="00283534">
        <w:rPr>
          <w:rFonts w:eastAsia="Times New Roman"/>
          <w:color w:val="000000"/>
          <w:szCs w:val="24"/>
          <w:lang w:eastAsia="hr-HR" w:bidi="hr-HR"/>
        </w:rPr>
        <w:t>f</w:t>
      </w:r>
      <w:r w:rsidRPr="00283534">
        <w:rPr>
          <w:rFonts w:eastAsia="Times New Roman"/>
          <w:color w:val="000000"/>
          <w:szCs w:val="24"/>
          <w:lang w:eastAsia="hr-HR" w:bidi="hr-HR"/>
        </w:rPr>
        <w:t xml:space="preserve"> the rights of victims of crime and the rights of persons suspected or accused of</w:t>
      </w:r>
      <w:r w:rsidRPr="006D0DEC">
        <w:rPr>
          <w:rFonts w:eastAsia="Times New Roman"/>
          <w:color w:val="000000"/>
          <w:szCs w:val="24"/>
          <w:lang w:eastAsia="hr-HR" w:bidi="hr-HR"/>
        </w:rPr>
        <w:t xml:space="preserve"> </w:t>
      </w:r>
      <w:proofErr w:type="gramStart"/>
      <w:r w:rsidRPr="006D0DEC">
        <w:rPr>
          <w:rFonts w:eastAsia="Times New Roman"/>
          <w:color w:val="000000"/>
          <w:szCs w:val="24"/>
          <w:lang w:eastAsia="hr-HR" w:bidi="hr-HR"/>
        </w:rPr>
        <w:t>crime;</w:t>
      </w:r>
      <w:proofErr w:type="gramEnd"/>
    </w:p>
    <w:p w14:paraId="62247855" w14:textId="59F5F2A0" w:rsidR="00F47FDE" w:rsidRPr="00283534" w:rsidRDefault="00F47FDE" w:rsidP="00EC0AFD">
      <w:pPr>
        <w:pStyle w:val="ListParagraph"/>
        <w:widowControl w:val="0"/>
        <w:numPr>
          <w:ilvl w:val="0"/>
          <w:numId w:val="44"/>
        </w:numPr>
        <w:pBdr>
          <w:top w:val="single" w:sz="4" w:space="0" w:color="auto"/>
          <w:left w:val="single" w:sz="4" w:space="22" w:color="auto"/>
          <w:bottom w:val="single" w:sz="4" w:space="0" w:color="auto"/>
          <w:right w:val="single" w:sz="4" w:space="0" w:color="auto"/>
        </w:pBdr>
        <w:shd w:val="clear" w:color="auto" w:fill="FFFFFF"/>
        <w:tabs>
          <w:tab w:val="left" w:pos="355"/>
        </w:tabs>
        <w:spacing w:before="0" w:after="0"/>
        <w:rPr>
          <w:rFonts w:eastAsia="Times New Roman"/>
          <w:color w:val="000000"/>
          <w:szCs w:val="24"/>
          <w:lang w:eastAsia="hr-HR" w:bidi="hr-HR"/>
        </w:rPr>
      </w:pPr>
      <w:r w:rsidRPr="006D0DEC">
        <w:rPr>
          <w:rFonts w:eastAsia="Times New Roman"/>
          <w:color w:val="000000"/>
          <w:szCs w:val="24"/>
          <w:lang w:eastAsia="hr-HR" w:bidi="hr-HR"/>
        </w:rPr>
        <w:t xml:space="preserve">Improved </w:t>
      </w:r>
      <w:r w:rsidRPr="00283534">
        <w:rPr>
          <w:rFonts w:eastAsia="Times New Roman"/>
          <w:color w:val="000000"/>
          <w:szCs w:val="24"/>
          <w:lang w:eastAsia="hr-HR" w:bidi="hr-HR"/>
        </w:rPr>
        <w:t xml:space="preserve">awareness of </w:t>
      </w:r>
      <w:r w:rsidR="00876122" w:rsidRPr="00283534">
        <w:rPr>
          <w:rFonts w:eastAsia="Times New Roman"/>
          <w:color w:val="000000"/>
          <w:szCs w:val="24"/>
          <w:lang w:eastAsia="hr-HR" w:bidi="hr-HR"/>
        </w:rPr>
        <w:t>ongoing</w:t>
      </w:r>
      <w:r w:rsidRPr="00283534">
        <w:rPr>
          <w:rFonts w:eastAsia="Times New Roman"/>
          <w:color w:val="000000"/>
          <w:szCs w:val="24"/>
          <w:lang w:eastAsia="hr-HR" w:bidi="hr-HR"/>
        </w:rPr>
        <w:t xml:space="preserve"> and future e-Justice activities and contribution to the development of further policy </w:t>
      </w:r>
      <w:proofErr w:type="gramStart"/>
      <w:r w:rsidRPr="00283534">
        <w:rPr>
          <w:rFonts w:eastAsia="Times New Roman"/>
          <w:color w:val="000000"/>
          <w:szCs w:val="24"/>
          <w:lang w:eastAsia="hr-HR" w:bidi="hr-HR"/>
        </w:rPr>
        <w:t>actions;</w:t>
      </w:r>
      <w:proofErr w:type="gramEnd"/>
    </w:p>
    <w:p w14:paraId="46B7EF10" w14:textId="1C46AFD0" w:rsidR="00F47FDE" w:rsidRPr="00EB3203" w:rsidRDefault="00F47FDE" w:rsidP="00EC0AFD">
      <w:pPr>
        <w:pStyle w:val="ListParagraph"/>
        <w:widowControl w:val="0"/>
        <w:numPr>
          <w:ilvl w:val="0"/>
          <w:numId w:val="44"/>
        </w:numPr>
        <w:pBdr>
          <w:top w:val="single" w:sz="4" w:space="0" w:color="auto"/>
          <w:left w:val="single" w:sz="4" w:space="22" w:color="auto"/>
          <w:bottom w:val="single" w:sz="4" w:space="0" w:color="auto"/>
          <w:right w:val="single" w:sz="4" w:space="0" w:color="auto"/>
        </w:pBdr>
        <w:shd w:val="clear" w:color="auto" w:fill="FFFFFF"/>
        <w:tabs>
          <w:tab w:val="left" w:pos="355"/>
        </w:tabs>
        <w:spacing w:before="0" w:after="0"/>
        <w:rPr>
          <w:rFonts w:eastAsia="Times New Roman"/>
          <w:color w:val="000000"/>
          <w:szCs w:val="24"/>
          <w:lang w:eastAsia="hr-HR" w:bidi="hr-HR"/>
        </w:rPr>
      </w:pPr>
      <w:r w:rsidRPr="00283534">
        <w:rPr>
          <w:rFonts w:eastAsia="Times New Roman"/>
          <w:color w:val="000000"/>
          <w:szCs w:val="24"/>
          <w:lang w:eastAsia="hr-HR" w:bidi="hr-HR"/>
        </w:rPr>
        <w:t xml:space="preserve">Better use of </w:t>
      </w:r>
      <w:r w:rsidR="006215E4" w:rsidRPr="00283534">
        <w:rPr>
          <w:rFonts w:eastAsia="Times New Roman"/>
          <w:color w:val="000000"/>
          <w:szCs w:val="24"/>
          <w:lang w:eastAsia="hr-HR" w:bidi="hr-HR"/>
        </w:rPr>
        <w:t>AI</w:t>
      </w:r>
      <w:r w:rsidRPr="00283534">
        <w:rPr>
          <w:rFonts w:eastAsia="Times New Roman"/>
          <w:color w:val="000000"/>
          <w:szCs w:val="24"/>
          <w:lang w:eastAsia="hr-HR" w:bidi="hr-HR"/>
        </w:rPr>
        <w:t xml:space="preserve"> </w:t>
      </w:r>
      <w:r w:rsidRPr="006D0DEC">
        <w:rPr>
          <w:rFonts w:eastAsia="Times New Roman"/>
          <w:color w:val="000000"/>
          <w:szCs w:val="24"/>
          <w:lang w:eastAsia="hr-HR" w:bidi="hr-HR"/>
        </w:rPr>
        <w:t>by justice professionals.</w:t>
      </w:r>
    </w:p>
    <w:p w14:paraId="195B0E9C" w14:textId="7C7AF547" w:rsidR="00F47FDE" w:rsidRPr="00876122" w:rsidRDefault="00F47FDE" w:rsidP="00F47FDE">
      <w:pPr>
        <w:widowControl w:val="0"/>
        <w:shd w:val="clear" w:color="auto" w:fill="FFFFFF"/>
        <w:spacing w:before="0" w:after="22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Implementation</w:t>
      </w:r>
    </w:p>
    <w:p w14:paraId="79BE9F4B" w14:textId="6D6C50FF" w:rsidR="00F47FDE"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60"/>
        <w:rPr>
          <w:rFonts w:eastAsia="Times New Roman"/>
          <w:color w:val="000000"/>
          <w:szCs w:val="24"/>
          <w:lang w:eastAsia="hr-HR" w:bidi="hr-HR"/>
        </w:rPr>
      </w:pPr>
      <w:r w:rsidRPr="00876122">
        <w:rPr>
          <w:rFonts w:eastAsia="Times New Roman"/>
          <w:color w:val="000000"/>
          <w:szCs w:val="24"/>
          <w:lang w:eastAsia="hr-HR" w:bidi="hr-HR"/>
        </w:rPr>
        <w:t>Direct management by DG JUST and, where indicated, by DIGIT</w:t>
      </w:r>
      <w:r w:rsidR="001166B8">
        <w:rPr>
          <w:rFonts w:eastAsia="Times New Roman"/>
          <w:color w:val="000000"/>
          <w:szCs w:val="24"/>
          <w:lang w:eastAsia="hr-HR" w:bidi="hr-HR"/>
        </w:rPr>
        <w:t xml:space="preserve"> or </w:t>
      </w:r>
      <w:r w:rsidRPr="00876122">
        <w:rPr>
          <w:rFonts w:eastAsia="Times New Roman"/>
          <w:color w:val="000000"/>
          <w:szCs w:val="24"/>
          <w:lang w:eastAsia="hr-HR" w:bidi="hr-HR"/>
        </w:rPr>
        <w:t xml:space="preserve">DGT based on a </w:t>
      </w:r>
      <w:r w:rsidRPr="00876122">
        <w:rPr>
          <w:rFonts w:eastAsia="Times New Roman"/>
          <w:color w:val="000000"/>
          <w:szCs w:val="24"/>
          <w:lang w:bidi="en-US"/>
        </w:rPr>
        <w:t>co</w:t>
      </w:r>
      <w:r w:rsidRPr="00876122">
        <w:rPr>
          <w:rFonts w:eastAsia="Times New Roman"/>
          <w:color w:val="000000"/>
          <w:szCs w:val="24"/>
          <w:lang w:bidi="en-US"/>
        </w:rPr>
        <w:softHyphen/>
        <w:t>-delegation.</w:t>
      </w:r>
      <w:r w:rsidRPr="00876122">
        <w:rPr>
          <w:rFonts w:eastAsia="Times New Roman"/>
          <w:color w:val="000000"/>
          <w:szCs w:val="24"/>
          <w:lang w:eastAsia="hr-HR" w:bidi="hr-HR"/>
        </w:rPr>
        <w:t xml:space="preserve"> Other co-delegations might also</w:t>
      </w:r>
      <w:r w:rsidR="00297046">
        <w:rPr>
          <w:rFonts w:eastAsia="Times New Roman"/>
          <w:color w:val="000000"/>
          <w:szCs w:val="24"/>
          <w:lang w:eastAsia="hr-HR" w:bidi="hr-HR"/>
        </w:rPr>
        <w:t xml:space="preserve"> be</w:t>
      </w:r>
      <w:r w:rsidRPr="00876122">
        <w:rPr>
          <w:rFonts w:eastAsia="Times New Roman"/>
          <w:color w:val="000000"/>
          <w:szCs w:val="24"/>
          <w:lang w:eastAsia="hr-HR" w:bidi="hr-HR"/>
        </w:rPr>
        <w:t xml:space="preserve"> used, if needed.</w:t>
      </w:r>
    </w:p>
    <w:p w14:paraId="63FB06BA" w14:textId="0E694961" w:rsidR="008B3AEC" w:rsidRDefault="008B3AEC" w:rsidP="00EB3203">
      <w:pPr>
        <w:widowControl w:val="0"/>
        <w:pBdr>
          <w:top w:val="single" w:sz="4" w:space="0" w:color="auto"/>
          <w:left w:val="single" w:sz="4" w:space="0" w:color="auto"/>
          <w:bottom w:val="single" w:sz="4" w:space="0" w:color="auto"/>
          <w:right w:val="single" w:sz="4" w:space="0" w:color="auto"/>
        </w:pBdr>
        <w:shd w:val="clear" w:color="auto" w:fill="FFFFFF"/>
        <w:spacing w:before="0" w:after="0"/>
        <w:rPr>
          <w:rFonts w:eastAsia="Times New Roman"/>
          <w:color w:val="000000"/>
          <w:szCs w:val="24"/>
          <w:lang w:eastAsia="hr-HR" w:bidi="hr-HR"/>
        </w:rPr>
      </w:pPr>
      <w:r w:rsidRPr="008B3AEC">
        <w:rPr>
          <w:rFonts w:eastAsia="Times New Roman"/>
          <w:color w:val="000000"/>
          <w:szCs w:val="24"/>
          <w:lang w:eastAsia="hr-HR" w:bidi="hr-HR"/>
        </w:rPr>
        <w:t xml:space="preserve">If the Commission estimates that some policy actions foreseen under procurement would be better implemented </w:t>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taking into account the evolution of the policy context </w:t>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through indirect management, then contribution agreements following a proposal for action, including a request for funding, submitted to the Commission by one of the eligible entities working in the area of judicial cooperation in civil and criminal matters may be concluded in accordance with Title VI ‘Indirect management’ of the Financial Regulation. This concerns organisations which have been subject to an ex-ante assessment pursuant to Article </w:t>
      </w:r>
      <w:r w:rsidRPr="008B3AEC">
        <w:rPr>
          <w:rFonts w:eastAsia="Times New Roman"/>
          <w:color w:val="000000"/>
          <w:szCs w:val="24"/>
          <w:lang w:eastAsia="bg-BG" w:bidi="bg-BG"/>
        </w:rPr>
        <w:t xml:space="preserve">157 </w:t>
      </w:r>
      <w:r w:rsidRPr="008B3AEC">
        <w:rPr>
          <w:rFonts w:eastAsia="Times New Roman"/>
          <w:color w:val="000000"/>
          <w:szCs w:val="24"/>
          <w:lang w:eastAsia="hr-HR" w:bidi="hr-HR"/>
        </w:rPr>
        <w:t xml:space="preserve">of the Financial Regulation, including those that are signatories of a framework partnership agreement concluded with the Commission pursuant to Art. 4 of Regulation (EU) </w:t>
      </w:r>
      <w:r w:rsidRPr="008B3AEC">
        <w:rPr>
          <w:rFonts w:eastAsia="Times New Roman"/>
          <w:color w:val="000000"/>
          <w:szCs w:val="24"/>
          <w:lang w:eastAsia="bg-BG" w:bidi="bg-BG"/>
        </w:rPr>
        <w:t>2016/369</w:t>
      </w:r>
      <w:r w:rsidRPr="008B3AEC">
        <w:rPr>
          <w:rStyle w:val="FootnoteReference"/>
          <w:rFonts w:eastAsia="Times New Roman"/>
          <w:color w:val="000000"/>
          <w:szCs w:val="24"/>
          <w:lang w:eastAsia="bg-BG" w:bidi="bg-BG"/>
        </w:rPr>
        <w:footnoteReference w:id="44"/>
      </w:r>
      <w:r w:rsidRPr="008B3AEC">
        <w:rPr>
          <w:rFonts w:eastAsia="Times New Roman"/>
          <w:color w:val="000000"/>
          <w:szCs w:val="24"/>
          <w:lang w:eastAsia="bg-BG" w:bidi="bg-BG"/>
        </w:rPr>
        <w:t xml:space="preserve">, </w:t>
      </w:r>
      <w:r w:rsidRPr="008B3AEC">
        <w:rPr>
          <w:rFonts w:eastAsia="Times New Roman"/>
          <w:color w:val="000000"/>
          <w:szCs w:val="24"/>
          <w:lang w:eastAsia="hr-HR" w:bidi="hr-HR"/>
        </w:rPr>
        <w:t xml:space="preserve">or those that are covered by the Financial and Administrative Framework Agreement concluded with the United Nations. Such organisations will have to demonstrate specific technical competence and experience appropriate for the action </w:t>
      </w:r>
      <w:proofErr w:type="gramStart"/>
      <w:r w:rsidRPr="008B3AEC">
        <w:rPr>
          <w:rFonts w:eastAsia="Times New Roman"/>
          <w:color w:val="000000"/>
          <w:szCs w:val="24"/>
          <w:lang w:eastAsia="hr-HR" w:bidi="hr-HR"/>
        </w:rPr>
        <w:t>in the area of</w:t>
      </w:r>
      <w:proofErr w:type="gramEnd"/>
      <w:r w:rsidRPr="008B3AEC">
        <w:rPr>
          <w:rFonts w:eastAsia="Times New Roman"/>
          <w:color w:val="000000"/>
          <w:szCs w:val="24"/>
          <w:lang w:eastAsia="hr-HR" w:bidi="hr-HR"/>
        </w:rPr>
        <w:t xml:space="preserve"> judicial cooperation in civil and criminal matters and must have the know-how, qualifications and resources to successfully implement the actions. This capacity will be assessed together with the ‘Quality’ entrustment requirements, </w:t>
      </w:r>
      <w:proofErr w:type="gramStart"/>
      <w:r w:rsidRPr="008B3AEC">
        <w:rPr>
          <w:rFonts w:eastAsia="Times New Roman"/>
          <w:color w:val="000000"/>
          <w:szCs w:val="24"/>
          <w:lang w:eastAsia="hr-HR" w:bidi="hr-HR"/>
        </w:rPr>
        <w:t>on the basis of</w:t>
      </w:r>
      <w:proofErr w:type="gramEnd"/>
      <w:r w:rsidRPr="008B3AEC">
        <w:rPr>
          <w:rFonts w:eastAsia="Times New Roman"/>
          <w:color w:val="000000"/>
          <w:szCs w:val="24"/>
          <w:lang w:eastAsia="hr-HR" w:bidi="hr-HR"/>
        </w:rPr>
        <w:t xml:space="preserve"> the competence and experience of the organisation and their project team, including operational resources (human, technical and other). The proposal for the action and request of funding will be assessed based on the relevance of the action against the objectives of the </w:t>
      </w:r>
      <w:r w:rsidR="000C632E">
        <w:rPr>
          <w:rFonts w:eastAsia="Times New Roman"/>
          <w:color w:val="000000"/>
          <w:szCs w:val="24"/>
          <w:lang w:eastAsia="hr-HR" w:bidi="hr-HR"/>
        </w:rPr>
        <w:t>P</w:t>
      </w:r>
      <w:r w:rsidRPr="008B3AEC">
        <w:rPr>
          <w:rFonts w:eastAsia="Times New Roman"/>
          <w:color w:val="000000"/>
          <w:szCs w:val="24"/>
          <w:lang w:eastAsia="hr-HR" w:bidi="hr-HR"/>
        </w:rPr>
        <w:t>rogramme, the quality of the action and its impact. Examples of organisations that can be selected as implementing entities include, but are not limited to, the Council of Europe, the Organisation for Economic Cooperation and Development (OECD), the Organization for Security and Cooperation in Europe (OSCE), the Office for Democratic Institutions and Human Rights (ODIHI), as well as agencies of the United Nations.</w:t>
      </w:r>
    </w:p>
    <w:p w14:paraId="554C2953" w14:textId="724E2BB0" w:rsidR="008B3AEC" w:rsidRPr="00876122" w:rsidRDefault="008B3AEC"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60"/>
        <w:rPr>
          <w:rFonts w:eastAsia="Times New Roman"/>
          <w:color w:val="000000"/>
          <w:szCs w:val="24"/>
          <w:lang w:eastAsia="hr-HR" w:bidi="hr-HR"/>
        </w:rPr>
        <w:sectPr w:rsidR="008B3AEC" w:rsidRPr="00876122" w:rsidSect="00302C2E">
          <w:pgSz w:w="11900" w:h="16840"/>
          <w:pgMar w:top="1105" w:right="1262" w:bottom="1764" w:left="1354" w:header="677" w:footer="3" w:gutter="0"/>
          <w:cols w:space="720"/>
          <w:noEndnote/>
          <w:docGrid w:linePitch="360"/>
        </w:sectPr>
      </w:pPr>
    </w:p>
    <w:p w14:paraId="65DA26E6" w14:textId="6F6C25CB" w:rsidR="00F47FDE" w:rsidRPr="00876122" w:rsidRDefault="00F47FDE" w:rsidP="00FA563B">
      <w:pPr>
        <w:pStyle w:val="Heading1"/>
        <w:rPr>
          <w:rFonts w:eastAsia="Times New Roman"/>
          <w:lang w:eastAsia="hr-HR" w:bidi="hr-HR"/>
        </w:rPr>
      </w:pPr>
      <w:bookmarkStart w:id="49" w:name="bookmark94"/>
      <w:bookmarkStart w:id="50" w:name="_Toc205461091"/>
      <w:r w:rsidRPr="00876122">
        <w:rPr>
          <w:rFonts w:eastAsia="Times New Roman"/>
          <w:lang w:eastAsia="hr-HR" w:bidi="hr-HR"/>
        </w:rPr>
        <w:lastRenderedPageBreak/>
        <w:t xml:space="preserve">Actions implemented </w:t>
      </w:r>
      <w:r w:rsidR="001A251A">
        <w:rPr>
          <w:rFonts w:eastAsia="Times New Roman"/>
          <w:lang w:eastAsia="hr-HR" w:bidi="hr-HR"/>
        </w:rPr>
        <w:t>under</w:t>
      </w:r>
      <w:r w:rsidRPr="00876122">
        <w:rPr>
          <w:rFonts w:eastAsia="Times New Roman"/>
          <w:lang w:eastAsia="hr-HR" w:bidi="hr-HR"/>
        </w:rPr>
        <w:t xml:space="preserve"> indirect management</w:t>
      </w:r>
      <w:bookmarkEnd w:id="49"/>
      <w:bookmarkEnd w:id="50"/>
    </w:p>
    <w:p w14:paraId="7D1325E9" w14:textId="681F549D" w:rsidR="00F47FDE" w:rsidRPr="00876122" w:rsidRDefault="00F47FDE" w:rsidP="00F47FDE">
      <w:pPr>
        <w:widowControl w:val="0"/>
        <w:shd w:val="clear" w:color="auto" w:fill="FFFFFF"/>
        <w:spacing w:before="0" w:after="520"/>
        <w:jc w:val="left"/>
        <w:rPr>
          <w:rFonts w:eastAsia="Times New Roman"/>
          <w:color w:val="000000"/>
          <w:szCs w:val="24"/>
          <w:lang w:eastAsia="hr-HR" w:bidi="hr-HR"/>
        </w:rPr>
      </w:pPr>
      <w:r w:rsidRPr="00876122">
        <w:rPr>
          <w:rFonts w:eastAsia="Times New Roman"/>
          <w:color w:val="000000"/>
          <w:szCs w:val="24"/>
          <w:lang w:eastAsia="hr-HR" w:bidi="hr-HR"/>
        </w:rPr>
        <w:t xml:space="preserve">The global budgetary envelope reserved for indirect management activities is </w:t>
      </w:r>
      <w:bookmarkStart w:id="51" w:name="_Hlk198823045"/>
      <w:r w:rsidR="00625E84">
        <w:rPr>
          <w:rFonts w:eastAsia="Times New Roman"/>
          <w:color w:val="000000"/>
          <w:szCs w:val="24"/>
          <w:lang w:eastAsia="bg-BG" w:bidi="bg-BG"/>
        </w:rPr>
        <w:t xml:space="preserve">EUR </w:t>
      </w:r>
      <w:r w:rsidRPr="00876122">
        <w:rPr>
          <w:rFonts w:eastAsia="Times New Roman"/>
          <w:color w:val="000000"/>
          <w:szCs w:val="24"/>
          <w:lang w:eastAsia="bg-BG" w:bidi="bg-BG"/>
        </w:rPr>
        <w:t>890</w:t>
      </w:r>
      <w:r w:rsidR="00876122">
        <w:rPr>
          <w:rFonts w:eastAsia="Times New Roman"/>
          <w:color w:val="000000"/>
          <w:szCs w:val="24"/>
          <w:lang w:eastAsia="bg-BG" w:bidi="bg-BG"/>
        </w:rPr>
        <w:t> </w:t>
      </w:r>
      <w:r w:rsidRPr="00876122">
        <w:rPr>
          <w:rFonts w:eastAsia="Times New Roman"/>
          <w:color w:val="000000"/>
          <w:szCs w:val="24"/>
          <w:lang w:eastAsia="bg-BG" w:bidi="bg-BG"/>
        </w:rPr>
        <w:t xml:space="preserve">000 </w:t>
      </w:r>
      <w:bookmarkEnd w:id="51"/>
      <w:r w:rsidRPr="00876122">
        <w:rPr>
          <w:rFonts w:eastAsia="Times New Roman"/>
          <w:color w:val="000000"/>
          <w:szCs w:val="24"/>
          <w:lang w:eastAsia="hr-HR" w:bidi="hr-HR"/>
        </w:rPr>
        <w:t xml:space="preserve">for </w:t>
      </w:r>
      <w:r w:rsidRPr="00876122">
        <w:rPr>
          <w:rFonts w:eastAsia="Times New Roman"/>
          <w:color w:val="000000"/>
          <w:szCs w:val="24"/>
          <w:lang w:eastAsia="bg-BG" w:bidi="bg-BG"/>
        </w:rPr>
        <w:t xml:space="preserve">2026 and </w:t>
      </w:r>
      <w:r w:rsidR="00625E84">
        <w:rPr>
          <w:rFonts w:eastAsia="Times New Roman"/>
          <w:color w:val="000000"/>
          <w:szCs w:val="24"/>
          <w:lang w:eastAsia="bg-BG" w:bidi="bg-BG"/>
        </w:rPr>
        <w:t>EUR </w:t>
      </w:r>
      <w:r w:rsidRPr="00876122">
        <w:rPr>
          <w:rFonts w:eastAsia="Times New Roman"/>
          <w:color w:val="000000"/>
          <w:szCs w:val="24"/>
          <w:lang w:eastAsia="bg-BG" w:bidi="bg-BG"/>
        </w:rPr>
        <w:t>460</w:t>
      </w:r>
      <w:r w:rsidR="00876122">
        <w:rPr>
          <w:rFonts w:eastAsia="Times New Roman"/>
          <w:color w:val="000000"/>
          <w:szCs w:val="24"/>
          <w:lang w:eastAsia="bg-BG" w:bidi="bg-BG"/>
        </w:rPr>
        <w:t> </w:t>
      </w:r>
      <w:r w:rsidRPr="00876122">
        <w:rPr>
          <w:rFonts w:eastAsia="Times New Roman"/>
          <w:color w:val="000000"/>
          <w:szCs w:val="24"/>
          <w:lang w:eastAsia="bg-BG" w:bidi="bg-BG"/>
        </w:rPr>
        <w:t>000 for 2027.</w:t>
      </w:r>
    </w:p>
    <w:p w14:paraId="62A24C1C" w14:textId="3FFCB92D" w:rsidR="00F47FDE" w:rsidRPr="00876122" w:rsidRDefault="00F47FDE" w:rsidP="00FA563B">
      <w:pPr>
        <w:pStyle w:val="Heading2"/>
        <w:rPr>
          <w:rFonts w:eastAsia="Times New Roman"/>
          <w:lang w:eastAsia="hr-HR" w:bidi="hr-HR"/>
        </w:rPr>
      </w:pPr>
      <w:bookmarkStart w:id="52" w:name="bookmark97"/>
      <w:bookmarkStart w:id="53" w:name="bookmark96"/>
      <w:bookmarkStart w:id="54" w:name="_Toc205461092"/>
      <w:r w:rsidRPr="00876122">
        <w:rPr>
          <w:rFonts w:eastAsia="Times New Roman"/>
          <w:lang w:eastAsia="hr-HR" w:bidi="hr-HR"/>
        </w:rPr>
        <w:t>Support to</w:t>
      </w:r>
      <w:r w:rsidR="00602C52">
        <w:rPr>
          <w:rFonts w:eastAsia="Times New Roman"/>
          <w:lang w:eastAsia="hr-HR" w:bidi="hr-HR"/>
        </w:rPr>
        <w:t xml:space="preserve"> the</w:t>
      </w:r>
      <w:r w:rsidRPr="00876122">
        <w:rPr>
          <w:rFonts w:eastAsia="Times New Roman"/>
          <w:lang w:eastAsia="hr-HR" w:bidi="hr-HR"/>
        </w:rPr>
        <w:t xml:space="preserve"> Council of Europe for the EU network of prison monitoring bodies</w:t>
      </w:r>
      <w:bookmarkEnd w:id="52"/>
      <w:bookmarkEnd w:id="53"/>
      <w:bookmarkEnd w:id="54"/>
    </w:p>
    <w:p w14:paraId="074EC0BE" w14:textId="77777777" w:rsidR="00F47FDE" w:rsidRPr="00876122" w:rsidRDefault="00F47FDE" w:rsidP="00F47FDE">
      <w:pPr>
        <w:widowControl w:val="0"/>
        <w:shd w:val="clear" w:color="auto" w:fill="FFFFFF"/>
        <w:spacing w:before="0" w:after="26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Implementing entity</w:t>
      </w:r>
    </w:p>
    <w:p w14:paraId="7344E215"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color w:val="000000"/>
          <w:szCs w:val="24"/>
          <w:lang w:eastAsia="hr-HR" w:bidi="hr-HR"/>
        </w:rPr>
        <w:t>Council of Europe</w:t>
      </w:r>
    </w:p>
    <w:p w14:paraId="34A22E26"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 pursued</w:t>
      </w:r>
    </w:p>
    <w:p w14:paraId="4CD13EA5" w14:textId="6A0A8DA8"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60"/>
        <w:rPr>
          <w:rFonts w:eastAsia="Times New Roman"/>
          <w:color w:val="000000"/>
          <w:szCs w:val="24"/>
          <w:lang w:eastAsia="hr-HR" w:bidi="hr-HR"/>
        </w:rPr>
      </w:pPr>
      <w:r w:rsidRPr="00876122">
        <w:rPr>
          <w:rFonts w:eastAsia="Times New Roman"/>
          <w:color w:val="000000"/>
          <w:szCs w:val="24"/>
          <w:lang w:eastAsia="hr-HR" w:bidi="hr-HR"/>
        </w:rPr>
        <w:t>Facilitate and support judicial cooperation in civil and criminal matters, and promote the rule of law, independence and impartiality of the judiciary, including by supporting the efforts to improve the effectiveness of national justice systems, and the effective enforcement of decisions.</w:t>
      </w:r>
    </w:p>
    <w:p w14:paraId="125D2DCA" w14:textId="77777777" w:rsidR="00F47FDE" w:rsidRPr="00876122" w:rsidRDefault="00F47FDE" w:rsidP="00F47FDE">
      <w:pPr>
        <w:widowControl w:val="0"/>
        <w:shd w:val="clear" w:color="auto" w:fill="FFFFFF"/>
        <w:spacing w:before="0" w:after="26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w:t>
      </w:r>
    </w:p>
    <w:p w14:paraId="1BB25CCD" w14:textId="37FB2839"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This contribution to the Council of Europe covers activities </w:t>
      </w:r>
      <w:r w:rsidR="006C1391">
        <w:rPr>
          <w:rFonts w:eastAsia="Times New Roman"/>
          <w:color w:val="000000"/>
          <w:szCs w:val="24"/>
          <w:lang w:eastAsia="hr-HR" w:bidi="hr-HR"/>
        </w:rPr>
        <w:t xml:space="preserve">related to running </w:t>
      </w:r>
      <w:r w:rsidR="000C43F7">
        <w:rPr>
          <w:rFonts w:eastAsia="Times New Roman"/>
          <w:color w:val="000000"/>
          <w:szCs w:val="24"/>
          <w:lang w:eastAsia="hr-HR" w:bidi="hr-HR"/>
        </w:rPr>
        <w:t>the</w:t>
      </w:r>
      <w:r w:rsidRPr="00876122">
        <w:rPr>
          <w:rFonts w:eastAsia="Times New Roman"/>
          <w:color w:val="000000"/>
          <w:szCs w:val="24"/>
          <w:lang w:eastAsia="hr-HR" w:bidi="hr-HR"/>
        </w:rPr>
        <w:t xml:space="preserve"> European forum of independent prison monitoring bodies. </w:t>
      </w:r>
      <w:r w:rsidR="00C8378F">
        <w:rPr>
          <w:rFonts w:eastAsia="Times New Roman"/>
          <w:color w:val="000000"/>
          <w:szCs w:val="24"/>
          <w:lang w:eastAsia="hr-HR" w:bidi="hr-HR"/>
        </w:rPr>
        <w:t>Such bodies include</w:t>
      </w:r>
      <w:r w:rsidRPr="00876122">
        <w:rPr>
          <w:rFonts w:eastAsia="Times New Roman"/>
          <w:color w:val="000000"/>
          <w:szCs w:val="24"/>
          <w:lang w:eastAsia="hr-HR" w:bidi="hr-HR"/>
        </w:rPr>
        <w:t xml:space="preserve"> the National Preventive Mechanisms (NPMs) set up</w:t>
      </w:r>
      <w:r w:rsidR="006354D6">
        <w:rPr>
          <w:rFonts w:eastAsia="Times New Roman"/>
          <w:color w:val="000000"/>
          <w:szCs w:val="24"/>
          <w:lang w:eastAsia="hr-HR" w:bidi="hr-HR"/>
        </w:rPr>
        <w:t xml:space="preserve"> by Member States</w:t>
      </w:r>
      <w:r w:rsidRPr="00876122">
        <w:rPr>
          <w:rFonts w:eastAsia="Times New Roman"/>
          <w:color w:val="000000"/>
          <w:szCs w:val="24"/>
          <w:lang w:eastAsia="hr-HR" w:bidi="hr-HR"/>
        </w:rPr>
        <w:t xml:space="preserve"> following </w:t>
      </w:r>
      <w:r w:rsidR="006E0DCA">
        <w:rPr>
          <w:rFonts w:eastAsia="Times New Roman"/>
          <w:color w:val="000000"/>
          <w:szCs w:val="24"/>
          <w:lang w:eastAsia="hr-HR" w:bidi="hr-HR"/>
        </w:rPr>
        <w:t xml:space="preserve">the </w:t>
      </w:r>
      <w:r w:rsidRPr="00876122">
        <w:rPr>
          <w:rFonts w:eastAsia="Times New Roman"/>
          <w:color w:val="000000"/>
          <w:szCs w:val="24"/>
          <w:lang w:eastAsia="hr-HR" w:bidi="hr-HR"/>
        </w:rPr>
        <w:t>ratification of the Optional Protocol to the UN Convention against Torture (OPCAT).</w:t>
      </w:r>
    </w:p>
    <w:p w14:paraId="249EE3B7"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The activity started in </w:t>
      </w:r>
      <w:r w:rsidRPr="00876122">
        <w:rPr>
          <w:rFonts w:eastAsia="Times New Roman"/>
          <w:color w:val="000000"/>
          <w:szCs w:val="24"/>
          <w:lang w:eastAsia="bg-BG" w:bidi="bg-BG"/>
        </w:rPr>
        <w:t xml:space="preserve">2016 </w:t>
      </w:r>
      <w:r w:rsidRPr="00876122">
        <w:rPr>
          <w:rFonts w:eastAsia="Times New Roman"/>
          <w:color w:val="000000"/>
          <w:szCs w:val="24"/>
          <w:lang w:eastAsia="hr-HR" w:bidi="hr-HR"/>
        </w:rPr>
        <w:t>and allows bodies monitoring prisons in the Member States to meet regularly within an informal network to discuss detention matters and exchange best practice in this field.</w:t>
      </w:r>
    </w:p>
    <w:p w14:paraId="7E92A2A4" w14:textId="3942E654"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The cooperation between the Commission and the Council of Europe will </w:t>
      </w:r>
      <w:r w:rsidR="00636586">
        <w:rPr>
          <w:rFonts w:eastAsia="Times New Roman"/>
          <w:color w:val="000000"/>
          <w:szCs w:val="24"/>
          <w:lang w:eastAsia="hr-HR" w:bidi="hr-HR"/>
        </w:rPr>
        <w:t>ensure</w:t>
      </w:r>
      <w:r w:rsidR="00636586" w:rsidRPr="00876122">
        <w:rPr>
          <w:rFonts w:eastAsia="Times New Roman"/>
          <w:color w:val="000000"/>
          <w:szCs w:val="24"/>
          <w:lang w:eastAsia="hr-HR" w:bidi="hr-HR"/>
        </w:rPr>
        <w:t xml:space="preserve"> </w:t>
      </w:r>
      <w:r w:rsidRPr="00876122">
        <w:rPr>
          <w:rFonts w:eastAsia="Times New Roman"/>
          <w:color w:val="000000"/>
          <w:szCs w:val="24"/>
          <w:lang w:eastAsia="hr-HR" w:bidi="hr-HR"/>
        </w:rPr>
        <w:t>optimal use, in the context of EU judicial cooperation, of existing expertise in this field</w:t>
      </w:r>
      <w:r w:rsidR="00C60D74">
        <w:rPr>
          <w:rFonts w:eastAsia="Times New Roman"/>
          <w:color w:val="000000"/>
          <w:szCs w:val="24"/>
          <w:lang w:eastAsia="hr-HR" w:bidi="hr-HR"/>
        </w:rPr>
        <w:t>,</w:t>
      </w:r>
      <w:r w:rsidRPr="00876122">
        <w:rPr>
          <w:rFonts w:eastAsia="Times New Roman"/>
          <w:color w:val="000000"/>
          <w:szCs w:val="24"/>
          <w:lang w:eastAsia="hr-HR" w:bidi="hr-HR"/>
        </w:rPr>
        <w:t xml:space="preserve"> as the Council of Europe is already managing the main prison monitoring body, i.e. the European Committee for the Prevention of Torture (CPT), which has developed</w:t>
      </w:r>
      <w:r w:rsidR="00F32200">
        <w:rPr>
          <w:rFonts w:eastAsia="Times New Roman"/>
          <w:color w:val="000000"/>
          <w:szCs w:val="24"/>
          <w:lang w:eastAsia="hr-HR" w:bidi="hr-HR"/>
        </w:rPr>
        <w:t xml:space="preserve"> a</w:t>
      </w:r>
      <w:r w:rsidRPr="00876122">
        <w:rPr>
          <w:rFonts w:eastAsia="Times New Roman"/>
          <w:color w:val="000000"/>
          <w:szCs w:val="24"/>
          <w:lang w:eastAsia="hr-HR" w:bidi="hr-HR"/>
        </w:rPr>
        <w:t xml:space="preserve"> methodology and </w:t>
      </w:r>
      <w:r w:rsidR="00ED739B">
        <w:rPr>
          <w:rFonts w:eastAsia="Times New Roman"/>
          <w:color w:val="000000"/>
          <w:szCs w:val="24"/>
          <w:lang w:eastAsia="hr-HR" w:bidi="hr-HR"/>
        </w:rPr>
        <w:t xml:space="preserve">established </w:t>
      </w:r>
      <w:r w:rsidRPr="00876122">
        <w:rPr>
          <w:rFonts w:eastAsia="Times New Roman"/>
          <w:color w:val="000000"/>
          <w:szCs w:val="24"/>
          <w:lang w:eastAsia="hr-HR" w:bidi="hr-HR"/>
        </w:rPr>
        <w:t>relevant contacts with EU NPMs in this field.</w:t>
      </w:r>
    </w:p>
    <w:p w14:paraId="5A767280" w14:textId="1E7DED5F"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rPr>
          <w:rFonts w:eastAsia="Times New Roman"/>
          <w:color w:val="000000"/>
          <w:szCs w:val="24"/>
          <w:lang w:eastAsia="hr-HR" w:bidi="hr-HR"/>
        </w:rPr>
      </w:pPr>
      <w:r w:rsidRPr="00876122">
        <w:rPr>
          <w:rFonts w:eastAsia="Times New Roman"/>
          <w:color w:val="000000"/>
          <w:szCs w:val="24"/>
          <w:lang w:eastAsia="hr-HR" w:bidi="hr-HR"/>
        </w:rPr>
        <w:t>The objective</w:t>
      </w:r>
      <w:r w:rsidR="00263639">
        <w:rPr>
          <w:rFonts w:eastAsia="Times New Roman"/>
          <w:color w:val="000000"/>
          <w:szCs w:val="24"/>
          <w:lang w:eastAsia="hr-HR" w:bidi="hr-HR"/>
        </w:rPr>
        <w:t>s</w:t>
      </w:r>
      <w:r w:rsidRPr="00876122">
        <w:rPr>
          <w:rFonts w:eastAsia="Times New Roman"/>
          <w:color w:val="000000"/>
          <w:szCs w:val="24"/>
          <w:lang w:eastAsia="hr-HR" w:bidi="hr-HR"/>
        </w:rPr>
        <w:t xml:space="preserve"> </w:t>
      </w:r>
      <w:proofErr w:type="gramStart"/>
      <w:r w:rsidR="00263639">
        <w:rPr>
          <w:rFonts w:eastAsia="Times New Roman"/>
          <w:color w:val="000000"/>
          <w:szCs w:val="24"/>
          <w:lang w:eastAsia="hr-HR" w:bidi="hr-HR"/>
        </w:rPr>
        <w:t>are:</w:t>
      </w:r>
      <w:proofErr w:type="gramEnd"/>
      <w:r w:rsidRPr="00876122">
        <w:rPr>
          <w:rFonts w:eastAsia="Times New Roman"/>
          <w:color w:val="000000"/>
          <w:szCs w:val="24"/>
          <w:lang w:eastAsia="hr-HR" w:bidi="hr-HR"/>
        </w:rPr>
        <w:t xml:space="preserve"> organise (bi)annual meetings supported by a regular newsletter distributed to the European NPM forum members</w:t>
      </w:r>
      <w:r w:rsidR="00E246A2">
        <w:rPr>
          <w:rFonts w:eastAsia="Times New Roman"/>
          <w:color w:val="000000"/>
          <w:szCs w:val="24"/>
          <w:lang w:eastAsia="hr-HR" w:bidi="hr-HR"/>
        </w:rPr>
        <w:t xml:space="preserve">; create </w:t>
      </w:r>
      <w:r w:rsidRPr="00876122">
        <w:rPr>
          <w:rFonts w:eastAsia="Times New Roman"/>
          <w:color w:val="000000"/>
          <w:szCs w:val="24"/>
          <w:lang w:eastAsia="hr-HR" w:bidi="hr-HR"/>
        </w:rPr>
        <w:t>good practice models to ensure effective follow-up of NPM recommendations</w:t>
      </w:r>
      <w:r w:rsidR="00396095">
        <w:rPr>
          <w:rFonts w:eastAsia="Times New Roman"/>
          <w:color w:val="000000"/>
          <w:szCs w:val="24"/>
          <w:lang w:eastAsia="hr-HR" w:bidi="hr-HR"/>
        </w:rPr>
        <w:t>;</w:t>
      </w:r>
      <w:r w:rsidRPr="00876122">
        <w:rPr>
          <w:rFonts w:eastAsia="Times New Roman"/>
          <w:color w:val="000000"/>
          <w:szCs w:val="24"/>
          <w:lang w:eastAsia="hr-HR" w:bidi="hr-HR"/>
        </w:rPr>
        <w:t xml:space="preserve"> and </w:t>
      </w:r>
      <w:r w:rsidR="00CA1BFD" w:rsidRPr="00876122">
        <w:rPr>
          <w:rFonts w:eastAsia="Times New Roman"/>
          <w:color w:val="000000"/>
          <w:szCs w:val="24"/>
          <w:lang w:eastAsia="hr-HR" w:bidi="hr-HR"/>
        </w:rPr>
        <w:t>organi</w:t>
      </w:r>
      <w:r w:rsidR="00CA1BFD">
        <w:rPr>
          <w:rFonts w:eastAsia="Times New Roman"/>
          <w:color w:val="000000"/>
          <w:szCs w:val="24"/>
          <w:lang w:eastAsia="hr-HR" w:bidi="hr-HR"/>
        </w:rPr>
        <w:t>se</w:t>
      </w:r>
      <w:r w:rsidR="00CA1BFD" w:rsidRPr="00876122">
        <w:rPr>
          <w:rFonts w:eastAsia="Times New Roman"/>
          <w:color w:val="000000"/>
          <w:szCs w:val="24"/>
          <w:lang w:eastAsia="hr-HR" w:bidi="hr-HR"/>
        </w:rPr>
        <w:t xml:space="preserve"> </w:t>
      </w:r>
      <w:r w:rsidRPr="00876122">
        <w:rPr>
          <w:rFonts w:eastAsia="Times New Roman"/>
          <w:color w:val="000000"/>
          <w:szCs w:val="24"/>
          <w:lang w:eastAsia="hr-HR" w:bidi="hr-HR"/>
        </w:rPr>
        <w:t>joint monitoring visits to exchange best practices.</w:t>
      </w:r>
    </w:p>
    <w:p w14:paraId="08634217" w14:textId="77777777" w:rsidR="00EC0AFD" w:rsidRPr="00EC0AFD" w:rsidRDefault="00EC0AFD" w:rsidP="00EC0AFD">
      <w:pPr>
        <w:widowControl w:val="0"/>
        <w:shd w:val="clear" w:color="auto" w:fill="FFFFFF"/>
        <w:spacing w:before="0" w:line="288" w:lineRule="auto"/>
        <w:jc w:val="left"/>
        <w:rPr>
          <w:rFonts w:eastAsia="Times New Roman"/>
          <w:b/>
          <w:bCs/>
          <w:smallCaps/>
          <w:color w:val="000000"/>
          <w:sz w:val="20"/>
          <w:szCs w:val="20"/>
          <w:lang w:eastAsia="hr-HR" w:bidi="hr-HR"/>
        </w:rPr>
      </w:pPr>
      <w:r w:rsidRPr="00EC0AFD">
        <w:rPr>
          <w:rFonts w:eastAsia="Times New Roman"/>
          <w:b/>
          <w:bCs/>
          <w:smallCaps/>
          <w:color w:val="000000"/>
          <w:sz w:val="20"/>
          <w:szCs w:val="20"/>
          <w:lang w:eastAsia="hr-HR" w:bidi="hr-HR"/>
        </w:rPr>
        <w:t>Expected results</w:t>
      </w:r>
    </w:p>
    <w:p w14:paraId="3F6F35C2" w14:textId="7FD99A21" w:rsidR="00F47FDE" w:rsidRPr="006E0DCA" w:rsidRDefault="00F47FDE" w:rsidP="009C2D89">
      <w:pPr>
        <w:pStyle w:val="ListParagraph"/>
        <w:widowControl w:val="0"/>
        <w:numPr>
          <w:ilvl w:val="0"/>
          <w:numId w:val="61"/>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lang w:eastAsia="hr-HR" w:bidi="hr-HR"/>
        </w:rPr>
      </w:pPr>
      <w:r w:rsidRPr="006E0DCA">
        <w:rPr>
          <w:lang w:eastAsia="hr-HR" w:bidi="hr-HR"/>
        </w:rPr>
        <w:t xml:space="preserve">National </w:t>
      </w:r>
      <w:r w:rsidRPr="006D0DEC">
        <w:rPr>
          <w:rFonts w:eastAsia="Times New Roman"/>
          <w:color w:val="000000"/>
          <w:szCs w:val="24"/>
          <w:lang w:eastAsia="hr-HR" w:bidi="hr-HR"/>
        </w:rPr>
        <w:t xml:space="preserve">authorities </w:t>
      </w:r>
      <w:r w:rsidRPr="006E0DCA">
        <w:rPr>
          <w:lang w:eastAsia="hr-HR" w:bidi="hr-HR"/>
        </w:rPr>
        <w:t xml:space="preserve">responsible for monitoring of detention conditions operate in cooperation and coordination with other responsible agencies and institutions across the </w:t>
      </w:r>
      <w:proofErr w:type="gramStart"/>
      <w:r w:rsidRPr="006E0DCA">
        <w:rPr>
          <w:lang w:eastAsia="hr-HR" w:bidi="hr-HR"/>
        </w:rPr>
        <w:t>EU;</w:t>
      </w:r>
      <w:proofErr w:type="gramEnd"/>
    </w:p>
    <w:p w14:paraId="286E3110" w14:textId="0F57B847" w:rsidR="00F47FDE" w:rsidRPr="006D0DEC" w:rsidRDefault="00F47FDE" w:rsidP="009C2D89">
      <w:pPr>
        <w:pStyle w:val="ListParagraph"/>
        <w:widowControl w:val="0"/>
        <w:numPr>
          <w:ilvl w:val="0"/>
          <w:numId w:val="45"/>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rFonts w:eastAsia="Times New Roman"/>
          <w:color w:val="000000"/>
          <w:szCs w:val="24"/>
          <w:lang w:eastAsia="hr-HR" w:bidi="hr-HR"/>
        </w:rPr>
      </w:pPr>
      <w:r w:rsidRPr="006E0DCA">
        <w:rPr>
          <w:rFonts w:eastAsia="Times New Roman"/>
          <w:color w:val="000000"/>
          <w:szCs w:val="24"/>
          <w:lang w:eastAsia="hr-HR" w:bidi="hr-HR"/>
        </w:rPr>
        <w:t>Improved standards for measuring detention conditions in the Member States in line with</w:t>
      </w:r>
      <w:r w:rsidR="003D4F09" w:rsidRPr="006E0DCA">
        <w:rPr>
          <w:rFonts w:eastAsia="Times New Roman"/>
          <w:color w:val="000000"/>
          <w:szCs w:val="24"/>
          <w:lang w:eastAsia="hr-HR" w:bidi="hr-HR"/>
        </w:rPr>
        <w:t xml:space="preserve"> the</w:t>
      </w:r>
      <w:r w:rsidRPr="006E0DCA">
        <w:rPr>
          <w:rFonts w:eastAsia="Times New Roman"/>
          <w:color w:val="000000"/>
          <w:szCs w:val="24"/>
          <w:lang w:eastAsia="hr-HR" w:bidi="hr-HR"/>
        </w:rPr>
        <w:t xml:space="preserve"> U</w:t>
      </w:r>
      <w:r w:rsidR="00DF6207">
        <w:rPr>
          <w:rFonts w:eastAsia="Times New Roman"/>
          <w:color w:val="000000"/>
          <w:szCs w:val="24"/>
          <w:lang w:eastAsia="hr-HR" w:bidi="hr-HR"/>
        </w:rPr>
        <w:t>nion</w:t>
      </w:r>
      <w:r w:rsidRPr="006E0DCA">
        <w:rPr>
          <w:rFonts w:eastAsia="Times New Roman"/>
          <w:color w:val="000000"/>
          <w:szCs w:val="24"/>
          <w:lang w:eastAsia="hr-HR" w:bidi="hr-HR"/>
        </w:rPr>
        <w:t xml:space="preserve"> </w:t>
      </w:r>
      <w:r w:rsidR="00876122" w:rsidRPr="006E0DCA">
        <w:rPr>
          <w:rFonts w:eastAsia="Times New Roman"/>
          <w:i/>
          <w:color w:val="000000"/>
          <w:szCs w:val="24"/>
          <w:lang w:eastAsia="hr-HR" w:bidi="hr-HR"/>
        </w:rPr>
        <w:t>acquis</w:t>
      </w:r>
      <w:r w:rsidRPr="006E0DCA">
        <w:rPr>
          <w:rFonts w:eastAsia="Times New Roman"/>
          <w:color w:val="000000"/>
          <w:szCs w:val="24"/>
          <w:lang w:eastAsia="hr-HR" w:bidi="hr-HR"/>
        </w:rPr>
        <w:t xml:space="preserve">, </w:t>
      </w:r>
      <w:r w:rsidRPr="006D0DEC">
        <w:rPr>
          <w:rFonts w:eastAsia="Times New Roman"/>
          <w:color w:val="000000"/>
          <w:szCs w:val="24"/>
          <w:lang w:eastAsia="hr-HR" w:bidi="hr-HR"/>
        </w:rPr>
        <w:t>in particular the Charter and international instruments such as the Council of Europe European Prison Rules</w:t>
      </w:r>
      <w:r w:rsidR="00B0334E">
        <w:rPr>
          <w:rStyle w:val="FootnoteReference"/>
          <w:rFonts w:eastAsia="Times New Roman"/>
          <w:color w:val="000000"/>
          <w:szCs w:val="24"/>
          <w:lang w:eastAsia="hr-HR" w:bidi="hr-HR"/>
        </w:rPr>
        <w:footnoteReference w:id="45"/>
      </w:r>
      <w:r w:rsidRPr="006D0DEC">
        <w:rPr>
          <w:rFonts w:eastAsia="Times New Roman"/>
          <w:color w:val="000000"/>
          <w:szCs w:val="24"/>
          <w:lang w:eastAsia="hr-HR" w:bidi="hr-HR"/>
        </w:rPr>
        <w:t>;</w:t>
      </w:r>
    </w:p>
    <w:p w14:paraId="5A1B8ED8" w14:textId="2D5FC4B3" w:rsidR="00AC3F7B" w:rsidRPr="00AC3F7B" w:rsidRDefault="00F47FDE" w:rsidP="009C2D89">
      <w:pPr>
        <w:pStyle w:val="ListParagraph"/>
        <w:widowControl w:val="0"/>
        <w:numPr>
          <w:ilvl w:val="0"/>
          <w:numId w:val="45"/>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lang w:eastAsia="hr-HR" w:bidi="hr-HR"/>
        </w:rPr>
      </w:pPr>
      <w:r w:rsidRPr="006D0DEC">
        <w:rPr>
          <w:rFonts w:eastAsia="Times New Roman"/>
          <w:color w:val="000000"/>
          <w:szCs w:val="24"/>
          <w:lang w:eastAsia="hr-HR" w:bidi="hr-HR"/>
        </w:rPr>
        <w:t xml:space="preserve">Approximation of </w:t>
      </w:r>
      <w:r w:rsidR="000B698D" w:rsidRPr="006D0DEC">
        <w:rPr>
          <w:rFonts w:eastAsia="Times New Roman"/>
          <w:color w:val="000000"/>
          <w:szCs w:val="24"/>
          <w:lang w:eastAsia="hr-HR" w:bidi="hr-HR"/>
        </w:rPr>
        <w:t>Member States’</w:t>
      </w:r>
      <w:r w:rsidRPr="006D0DEC">
        <w:rPr>
          <w:rFonts w:eastAsia="Times New Roman"/>
          <w:color w:val="000000"/>
          <w:szCs w:val="24"/>
          <w:lang w:eastAsia="hr-HR" w:bidi="hr-HR"/>
        </w:rPr>
        <w:t xml:space="preserve"> administrative practices </w:t>
      </w:r>
      <w:r w:rsidR="00542D18" w:rsidRPr="006D0DEC">
        <w:rPr>
          <w:rFonts w:eastAsia="Times New Roman"/>
          <w:color w:val="000000"/>
          <w:szCs w:val="24"/>
          <w:lang w:eastAsia="hr-HR" w:bidi="hr-HR"/>
        </w:rPr>
        <w:t>on</w:t>
      </w:r>
      <w:r w:rsidRPr="006D0DEC">
        <w:rPr>
          <w:rFonts w:eastAsia="Times New Roman"/>
          <w:color w:val="000000"/>
          <w:szCs w:val="24"/>
          <w:lang w:eastAsia="hr-HR" w:bidi="hr-HR"/>
        </w:rPr>
        <w:t xml:space="preserve"> </w:t>
      </w:r>
      <w:r w:rsidR="00B675A4" w:rsidRPr="006D0DEC">
        <w:rPr>
          <w:rFonts w:eastAsia="Times New Roman"/>
          <w:color w:val="000000"/>
          <w:szCs w:val="24"/>
          <w:lang w:eastAsia="hr-HR" w:bidi="hr-HR"/>
        </w:rPr>
        <w:t xml:space="preserve">prisons </w:t>
      </w:r>
      <w:proofErr w:type="gramStart"/>
      <w:r w:rsidRPr="006D0DEC">
        <w:rPr>
          <w:rFonts w:eastAsia="Times New Roman"/>
          <w:color w:val="000000"/>
          <w:szCs w:val="24"/>
          <w:lang w:eastAsia="hr-HR" w:bidi="hr-HR"/>
        </w:rPr>
        <w:t>monitoring;</w:t>
      </w:r>
      <w:proofErr w:type="gramEnd"/>
    </w:p>
    <w:p w14:paraId="59FA9D01" w14:textId="08D1223F" w:rsidR="00F47FDE" w:rsidRPr="00F36221" w:rsidRDefault="00F47FDE" w:rsidP="009C2D89">
      <w:pPr>
        <w:pStyle w:val="ListParagraph"/>
        <w:widowControl w:val="0"/>
        <w:numPr>
          <w:ilvl w:val="0"/>
          <w:numId w:val="45"/>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lang w:eastAsia="hr-HR" w:bidi="hr-HR"/>
        </w:rPr>
      </w:pPr>
      <w:r w:rsidRPr="00F36221">
        <w:rPr>
          <w:lang w:eastAsia="hr-HR" w:bidi="hr-HR"/>
        </w:rPr>
        <w:t xml:space="preserve">Strengthened cooperation and exchange of information </w:t>
      </w:r>
      <w:r w:rsidRPr="003E3018">
        <w:rPr>
          <w:lang w:eastAsia="hr-HR" w:bidi="hr-HR"/>
        </w:rPr>
        <w:t xml:space="preserve">between competent national </w:t>
      </w:r>
      <w:r w:rsidRPr="003E3018">
        <w:rPr>
          <w:lang w:eastAsia="hr-HR" w:bidi="hr-HR"/>
        </w:rPr>
        <w:lastRenderedPageBreak/>
        <w:t xml:space="preserve">authorities in relation to detention conditions in the Member </w:t>
      </w:r>
      <w:proofErr w:type="gramStart"/>
      <w:r w:rsidRPr="003E3018">
        <w:rPr>
          <w:lang w:eastAsia="hr-HR" w:bidi="hr-HR"/>
        </w:rPr>
        <w:t>States;</w:t>
      </w:r>
      <w:proofErr w:type="gramEnd"/>
    </w:p>
    <w:p w14:paraId="7E661051" w14:textId="46CA7F23" w:rsidR="00F47FDE" w:rsidRPr="006E0DCA" w:rsidRDefault="00F47FDE" w:rsidP="009C2D89">
      <w:pPr>
        <w:pStyle w:val="ListParagraph"/>
        <w:widowControl w:val="0"/>
        <w:numPr>
          <w:ilvl w:val="0"/>
          <w:numId w:val="47"/>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rFonts w:eastAsia="Times New Roman"/>
          <w:color w:val="000000"/>
          <w:szCs w:val="24"/>
          <w:lang w:eastAsia="hr-HR" w:bidi="hr-HR"/>
        </w:rPr>
      </w:pPr>
      <w:r w:rsidRPr="006E0DCA">
        <w:rPr>
          <w:rFonts w:eastAsia="Times New Roman"/>
          <w:color w:val="000000"/>
          <w:szCs w:val="24"/>
          <w:lang w:eastAsia="hr-HR" w:bidi="hr-HR"/>
        </w:rPr>
        <w:t>Improved knowledge o</w:t>
      </w:r>
      <w:r w:rsidR="000B698D" w:rsidRPr="006E0DCA">
        <w:rPr>
          <w:rFonts w:eastAsia="Times New Roman"/>
          <w:color w:val="000000"/>
          <w:szCs w:val="24"/>
          <w:lang w:eastAsia="hr-HR" w:bidi="hr-HR"/>
        </w:rPr>
        <w:t>f</w:t>
      </w:r>
      <w:r w:rsidRPr="006E0DCA">
        <w:rPr>
          <w:rFonts w:eastAsia="Times New Roman"/>
          <w:color w:val="000000"/>
          <w:szCs w:val="24"/>
          <w:lang w:eastAsia="hr-HR" w:bidi="hr-HR"/>
        </w:rPr>
        <w:t xml:space="preserve"> the legislation and administrative practices related to detention conditions in the Member </w:t>
      </w:r>
      <w:proofErr w:type="gramStart"/>
      <w:r w:rsidRPr="006E0DCA">
        <w:rPr>
          <w:rFonts w:eastAsia="Times New Roman"/>
          <w:color w:val="000000"/>
          <w:szCs w:val="24"/>
          <w:lang w:eastAsia="hr-HR" w:bidi="hr-HR"/>
        </w:rPr>
        <w:t>States;</w:t>
      </w:r>
      <w:proofErr w:type="gramEnd"/>
    </w:p>
    <w:p w14:paraId="2C8CF547" w14:textId="340C524F" w:rsidR="00F47FDE" w:rsidRPr="006E0DCA" w:rsidRDefault="00F47FDE" w:rsidP="009C2D89">
      <w:pPr>
        <w:pStyle w:val="ListParagraph"/>
        <w:widowControl w:val="0"/>
        <w:numPr>
          <w:ilvl w:val="0"/>
          <w:numId w:val="47"/>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rFonts w:eastAsia="Times New Roman"/>
          <w:color w:val="000000"/>
          <w:szCs w:val="24"/>
          <w:lang w:eastAsia="hr-HR" w:bidi="hr-HR"/>
        </w:rPr>
      </w:pPr>
      <w:r w:rsidRPr="006D0DEC">
        <w:rPr>
          <w:rFonts w:eastAsia="Times New Roman"/>
          <w:color w:val="000000"/>
          <w:szCs w:val="24"/>
          <w:lang w:eastAsia="hr-HR" w:bidi="hr-HR"/>
        </w:rPr>
        <w:t xml:space="preserve">Reduced </w:t>
      </w:r>
      <w:r w:rsidRPr="006E0DCA">
        <w:rPr>
          <w:rFonts w:eastAsia="Times New Roman"/>
          <w:color w:val="000000"/>
          <w:szCs w:val="24"/>
          <w:lang w:eastAsia="hr-HR" w:bidi="hr-HR"/>
        </w:rPr>
        <w:t xml:space="preserve">risks of detention issues affecting judicial cooperation in criminal matters in proceedings related to the European arrest warrant and </w:t>
      </w:r>
      <w:r w:rsidR="000B698D" w:rsidRPr="006E0DCA">
        <w:rPr>
          <w:rFonts w:eastAsia="Times New Roman"/>
          <w:color w:val="000000"/>
          <w:szCs w:val="24"/>
          <w:lang w:eastAsia="hr-HR" w:bidi="hr-HR"/>
        </w:rPr>
        <w:t xml:space="preserve">the </w:t>
      </w:r>
      <w:r w:rsidRPr="006E0DCA">
        <w:rPr>
          <w:rFonts w:eastAsia="Times New Roman"/>
          <w:color w:val="000000"/>
          <w:szCs w:val="24"/>
          <w:lang w:eastAsia="hr-HR" w:bidi="hr-HR"/>
        </w:rPr>
        <w:t xml:space="preserve">transfer of custodial sentences to other Member </w:t>
      </w:r>
      <w:proofErr w:type="gramStart"/>
      <w:r w:rsidRPr="006E0DCA">
        <w:rPr>
          <w:rFonts w:eastAsia="Times New Roman"/>
          <w:color w:val="000000"/>
          <w:szCs w:val="24"/>
          <w:lang w:eastAsia="hr-HR" w:bidi="hr-HR"/>
        </w:rPr>
        <w:t>States;</w:t>
      </w:r>
      <w:proofErr w:type="gramEnd"/>
    </w:p>
    <w:p w14:paraId="448CACC0" w14:textId="077F232B" w:rsidR="00F47FDE" w:rsidRPr="006D0DEC" w:rsidRDefault="002825C1" w:rsidP="009C2D89">
      <w:pPr>
        <w:pStyle w:val="ListParagraph"/>
        <w:widowControl w:val="0"/>
        <w:numPr>
          <w:ilvl w:val="0"/>
          <w:numId w:val="45"/>
        </w:numPr>
        <w:pBdr>
          <w:top w:val="single" w:sz="4" w:space="0" w:color="auto"/>
          <w:left w:val="single" w:sz="4" w:space="18" w:color="auto"/>
          <w:bottom w:val="single" w:sz="4" w:space="0" w:color="auto"/>
          <w:right w:val="single" w:sz="4" w:space="0" w:color="auto"/>
        </w:pBdr>
        <w:shd w:val="clear" w:color="auto" w:fill="FFFFFF"/>
        <w:tabs>
          <w:tab w:val="left" w:pos="347"/>
        </w:tabs>
        <w:spacing w:before="0" w:after="0"/>
        <w:rPr>
          <w:rFonts w:eastAsia="Times New Roman"/>
          <w:color w:val="000000"/>
          <w:szCs w:val="24"/>
          <w:lang w:eastAsia="hr-HR" w:bidi="hr-HR"/>
        </w:rPr>
      </w:pPr>
      <w:r>
        <w:rPr>
          <w:lang w:eastAsia="hr-HR" w:bidi="hr-HR"/>
        </w:rPr>
        <w:t>Improved</w:t>
      </w:r>
      <w:r w:rsidRPr="002825C1">
        <w:rPr>
          <w:lang w:eastAsia="hr-HR" w:bidi="hr-HR"/>
        </w:rPr>
        <w:t xml:space="preserve"> </w:t>
      </w:r>
      <w:r w:rsidR="00F47FDE" w:rsidRPr="002825C1">
        <w:rPr>
          <w:lang w:eastAsia="hr-HR" w:bidi="hr-HR"/>
        </w:rPr>
        <w:t>awareness and</w:t>
      </w:r>
      <w:r w:rsidR="00F47FDE" w:rsidRPr="006D0DEC">
        <w:rPr>
          <w:rFonts w:eastAsia="Times New Roman"/>
          <w:color w:val="000000"/>
          <w:szCs w:val="24"/>
          <w:lang w:eastAsia="hr-HR" w:bidi="hr-HR"/>
        </w:rPr>
        <w:t xml:space="preserve"> implementation of the Commission Recommendation on procedural rights of suspects or accused persons in pre-trial detention and material conditions of detention</w:t>
      </w:r>
      <w:r w:rsidR="00B0334E">
        <w:rPr>
          <w:rStyle w:val="FootnoteReference"/>
          <w:rFonts w:eastAsia="Times New Roman"/>
          <w:color w:val="000000"/>
          <w:szCs w:val="24"/>
          <w:lang w:eastAsia="hr-HR" w:bidi="hr-HR"/>
        </w:rPr>
        <w:footnoteReference w:id="46"/>
      </w:r>
      <w:r w:rsidR="00F47FDE" w:rsidRPr="006D0DEC">
        <w:rPr>
          <w:rFonts w:eastAsia="Times New Roman"/>
          <w:color w:val="000000"/>
          <w:szCs w:val="24"/>
          <w:lang w:eastAsia="hr-HR" w:bidi="hr-HR"/>
        </w:rPr>
        <w:t>.</w:t>
      </w:r>
    </w:p>
    <w:p w14:paraId="63CC1418" w14:textId="77777777" w:rsidR="00F47FDE" w:rsidRPr="00876122" w:rsidRDefault="00F47FDE" w:rsidP="00F47FDE">
      <w:pPr>
        <w:keepNext/>
        <w:keepLines/>
        <w:widowControl w:val="0"/>
        <w:shd w:val="clear" w:color="auto" w:fill="FFFFFF"/>
        <w:spacing w:before="0"/>
        <w:jc w:val="left"/>
        <w:outlineLvl w:val="1"/>
        <w:rPr>
          <w:rFonts w:eastAsia="Times New Roman"/>
          <w:b/>
          <w:bCs/>
          <w:color w:val="000000"/>
          <w:szCs w:val="24"/>
          <w:lang w:eastAsia="bg-BG" w:bidi="bg-BG"/>
        </w:rPr>
      </w:pPr>
      <w:bookmarkStart w:id="55" w:name="bookmark100"/>
      <w:bookmarkStart w:id="56" w:name="bookmark99"/>
    </w:p>
    <w:p w14:paraId="272BCE76" w14:textId="762E482A" w:rsidR="00F47FDE" w:rsidRPr="00876122" w:rsidRDefault="00F47FDE" w:rsidP="00FA563B">
      <w:pPr>
        <w:pStyle w:val="Heading2"/>
        <w:rPr>
          <w:rFonts w:eastAsia="Times New Roman"/>
          <w:lang w:eastAsia="hr-HR" w:bidi="hr-HR"/>
        </w:rPr>
      </w:pPr>
      <w:bookmarkStart w:id="57" w:name="_Toc205461093"/>
      <w:r w:rsidRPr="00876122">
        <w:rPr>
          <w:rFonts w:eastAsia="Times New Roman"/>
          <w:lang w:eastAsia="hr-HR" w:bidi="hr-HR"/>
        </w:rPr>
        <w:t xml:space="preserve">Support to </w:t>
      </w:r>
      <w:r w:rsidR="002740FB">
        <w:rPr>
          <w:rFonts w:eastAsia="Times New Roman"/>
          <w:lang w:eastAsia="hr-HR" w:bidi="hr-HR"/>
        </w:rPr>
        <w:t xml:space="preserve">the </w:t>
      </w:r>
      <w:r w:rsidRPr="00876122">
        <w:rPr>
          <w:rFonts w:eastAsia="Times New Roman"/>
          <w:lang w:eastAsia="hr-HR" w:bidi="hr-HR"/>
        </w:rPr>
        <w:t>Council of Europe for the EU Justice Scoreboard</w:t>
      </w:r>
      <w:bookmarkEnd w:id="55"/>
      <w:bookmarkEnd w:id="56"/>
      <w:bookmarkEnd w:id="57"/>
    </w:p>
    <w:p w14:paraId="569C545D" w14:textId="77777777" w:rsidR="00F47FDE" w:rsidRPr="00876122" w:rsidRDefault="00F47FDE" w:rsidP="00F47FDE">
      <w:pPr>
        <w:widowControl w:val="0"/>
        <w:shd w:val="clear" w:color="auto" w:fill="FFFFFF"/>
        <w:spacing w:before="0" w:after="20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Implementing entity</w:t>
      </w:r>
    </w:p>
    <w:tbl>
      <w:tblPr>
        <w:tblStyle w:val="TableGrid"/>
        <w:tblW w:w="0" w:type="auto"/>
        <w:tblLook w:val="04A0" w:firstRow="1" w:lastRow="0" w:firstColumn="1" w:lastColumn="0" w:noHBand="0" w:noVBand="1"/>
      </w:tblPr>
      <w:tblGrid>
        <w:gridCol w:w="9464"/>
      </w:tblGrid>
      <w:tr w:rsidR="00F47FDE" w:rsidRPr="00876122" w14:paraId="089C7514" w14:textId="77777777" w:rsidTr="00EC0AFD">
        <w:trPr>
          <w:trHeight w:val="320"/>
        </w:trPr>
        <w:tc>
          <w:tcPr>
            <w:tcW w:w="9464" w:type="dxa"/>
          </w:tcPr>
          <w:p w14:paraId="465D6946" w14:textId="77777777" w:rsidR="00F47FDE" w:rsidRPr="00876122" w:rsidRDefault="00F47FDE" w:rsidP="00FA563B">
            <w:pPr>
              <w:shd w:val="clear" w:color="auto" w:fill="FFFFFF"/>
              <w:spacing w:before="0" w:after="0"/>
              <w:jc w:val="left"/>
              <w:rPr>
                <w:color w:val="000000"/>
              </w:rPr>
            </w:pPr>
            <w:r w:rsidRPr="00876122">
              <w:rPr>
                <w:color w:val="000000"/>
              </w:rPr>
              <w:t>Council of Europe</w:t>
            </w:r>
          </w:p>
        </w:tc>
      </w:tr>
    </w:tbl>
    <w:p w14:paraId="56845A8B" w14:textId="77777777" w:rsidR="00F47FDE" w:rsidRPr="00876122" w:rsidRDefault="00F47FDE" w:rsidP="00FA563B">
      <w:pPr>
        <w:widowControl w:val="0"/>
        <w:shd w:val="clear" w:color="auto" w:fill="FFFFFF"/>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 pursued</w:t>
      </w:r>
    </w:p>
    <w:p w14:paraId="44E7A27A" w14:textId="1B540EAE"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rPr>
          <w:rFonts w:eastAsia="Times New Roman"/>
          <w:color w:val="000000"/>
          <w:szCs w:val="24"/>
          <w:lang w:eastAsia="hr-HR" w:bidi="hr-HR"/>
        </w:rPr>
      </w:pPr>
      <w:r w:rsidRPr="00876122">
        <w:rPr>
          <w:rFonts w:eastAsia="Times New Roman"/>
          <w:color w:val="000000"/>
          <w:szCs w:val="24"/>
          <w:lang w:eastAsia="hr-HR" w:bidi="hr-HR"/>
        </w:rPr>
        <w:t>Promote the rule of law, independence and impartiality of the judiciary, including by supporting the efforts to improve the effectiveness of national justice systems and the effective enforcement of decisions.</w:t>
      </w:r>
    </w:p>
    <w:p w14:paraId="0550FFC3" w14:textId="77777777" w:rsidR="00F47FDE" w:rsidRPr="00876122" w:rsidRDefault="00F47FDE" w:rsidP="00F47FDE">
      <w:pPr>
        <w:widowControl w:val="0"/>
        <w:shd w:val="clear" w:color="auto" w:fill="FFFFFF"/>
        <w:spacing w:before="0" w:after="28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w:t>
      </w:r>
    </w:p>
    <w:p w14:paraId="0F707C5D" w14:textId="1DF918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The cooperation with the Council of Europe’s European Commission for the Efficiency of Justice (CEPEJ) is necessary to carry out an annual study which provides comparative data on the efficiency, quality and independence of justice systems among the EU Member States.</w:t>
      </w:r>
    </w:p>
    <w:p w14:paraId="695FA8D1" w14:textId="77777777"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jc w:val="left"/>
        <w:rPr>
          <w:rFonts w:eastAsia="Times New Roman"/>
          <w:color w:val="000000"/>
          <w:szCs w:val="24"/>
          <w:lang w:eastAsia="hr-HR" w:bidi="hr-HR"/>
        </w:rPr>
      </w:pPr>
      <w:r w:rsidRPr="00876122">
        <w:rPr>
          <w:rFonts w:eastAsia="Times New Roman"/>
          <w:color w:val="000000"/>
          <w:szCs w:val="24"/>
          <w:lang w:eastAsia="hr-HR" w:bidi="hr-HR"/>
        </w:rPr>
        <w:t>The study also provides detailed comments and country-specific factsheets.</w:t>
      </w:r>
    </w:p>
    <w:p w14:paraId="15DC3A23" w14:textId="77777777" w:rsidR="00F47FDE" w:rsidRPr="00876122" w:rsidRDefault="00F47FDE" w:rsidP="00F47FDE">
      <w:pPr>
        <w:widowControl w:val="0"/>
        <w:shd w:val="clear" w:color="auto" w:fill="FFFFFF"/>
        <w:spacing w:before="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p w14:paraId="3CAF0CE2" w14:textId="77777777" w:rsidR="00F47FDE" w:rsidRPr="006E0DCA" w:rsidRDefault="00F47FDE" w:rsidP="006D0DEC">
      <w:pPr>
        <w:pStyle w:val="ListParagraph"/>
        <w:widowControl w:val="0"/>
        <w:numPr>
          <w:ilvl w:val="0"/>
          <w:numId w:val="46"/>
        </w:numPr>
        <w:pBdr>
          <w:top w:val="single" w:sz="4" w:space="0" w:color="auto"/>
          <w:left w:val="single" w:sz="4" w:space="18" w:color="auto"/>
          <w:bottom w:val="single" w:sz="4" w:space="0" w:color="auto"/>
          <w:right w:val="single" w:sz="4" w:space="0" w:color="auto"/>
        </w:pBdr>
        <w:shd w:val="clear" w:color="auto" w:fill="FFFFFF"/>
        <w:tabs>
          <w:tab w:val="left" w:pos="355"/>
        </w:tabs>
        <w:spacing w:before="0" w:after="0"/>
        <w:jc w:val="left"/>
        <w:rPr>
          <w:rFonts w:eastAsia="Times New Roman"/>
          <w:color w:val="000000"/>
          <w:szCs w:val="24"/>
          <w:lang w:eastAsia="hr-HR" w:bidi="hr-HR"/>
        </w:rPr>
      </w:pPr>
      <w:r w:rsidRPr="006E0DCA">
        <w:rPr>
          <w:rFonts w:eastAsia="Times New Roman"/>
          <w:color w:val="000000"/>
          <w:szCs w:val="24"/>
          <w:lang w:eastAsia="hr-HR" w:bidi="hr-HR"/>
        </w:rPr>
        <w:t xml:space="preserve">Improved effectiveness of national justice </w:t>
      </w:r>
      <w:proofErr w:type="gramStart"/>
      <w:r w:rsidRPr="006E0DCA">
        <w:rPr>
          <w:rFonts w:eastAsia="Times New Roman"/>
          <w:color w:val="000000"/>
          <w:szCs w:val="24"/>
          <w:lang w:eastAsia="hr-HR" w:bidi="hr-HR"/>
        </w:rPr>
        <w:t>systems;</w:t>
      </w:r>
      <w:proofErr w:type="gramEnd"/>
    </w:p>
    <w:p w14:paraId="228E0E79" w14:textId="3C06CD97" w:rsidR="00F47FDE" w:rsidRPr="006E0DCA" w:rsidRDefault="00F47FDE" w:rsidP="006D0DEC">
      <w:pPr>
        <w:pStyle w:val="ListParagraph"/>
        <w:widowControl w:val="0"/>
        <w:numPr>
          <w:ilvl w:val="0"/>
          <w:numId w:val="46"/>
        </w:numPr>
        <w:pBdr>
          <w:top w:val="single" w:sz="4" w:space="0" w:color="auto"/>
          <w:left w:val="single" w:sz="4" w:space="18" w:color="auto"/>
          <w:bottom w:val="single" w:sz="4" w:space="0" w:color="auto"/>
          <w:right w:val="single" w:sz="4" w:space="0" w:color="auto"/>
        </w:pBdr>
        <w:shd w:val="clear" w:color="auto" w:fill="FFFFFF"/>
        <w:tabs>
          <w:tab w:val="left" w:pos="355"/>
        </w:tabs>
        <w:spacing w:before="0" w:after="0"/>
        <w:jc w:val="left"/>
        <w:rPr>
          <w:rFonts w:eastAsia="Times New Roman"/>
          <w:color w:val="000000"/>
          <w:szCs w:val="24"/>
          <w:lang w:eastAsia="hr-HR" w:bidi="hr-HR"/>
        </w:rPr>
      </w:pPr>
      <w:r w:rsidRPr="006E0DCA">
        <w:rPr>
          <w:rFonts w:eastAsia="Times New Roman"/>
          <w:color w:val="000000"/>
          <w:szCs w:val="24"/>
          <w:lang w:eastAsia="hr-HR" w:bidi="hr-HR"/>
        </w:rPr>
        <w:t>Collection of data on</w:t>
      </w:r>
      <w:r w:rsidR="00611274" w:rsidRPr="006E0DCA">
        <w:rPr>
          <w:rFonts w:eastAsia="Times New Roman"/>
          <w:color w:val="000000"/>
          <w:szCs w:val="24"/>
          <w:lang w:eastAsia="hr-HR" w:bidi="hr-HR"/>
        </w:rPr>
        <w:t xml:space="preserve"> the</w:t>
      </w:r>
      <w:r w:rsidRPr="006E0DCA">
        <w:rPr>
          <w:rFonts w:eastAsia="Times New Roman"/>
          <w:color w:val="000000"/>
          <w:szCs w:val="24"/>
          <w:lang w:eastAsia="hr-HR" w:bidi="hr-HR"/>
        </w:rPr>
        <w:t xml:space="preserve"> essential parameters of an effective justice </w:t>
      </w:r>
      <w:proofErr w:type="gramStart"/>
      <w:r w:rsidRPr="006E0DCA">
        <w:rPr>
          <w:rFonts w:eastAsia="Times New Roman"/>
          <w:color w:val="000000"/>
          <w:szCs w:val="24"/>
          <w:lang w:eastAsia="hr-HR" w:bidi="hr-HR"/>
        </w:rPr>
        <w:t>system;</w:t>
      </w:r>
      <w:proofErr w:type="gramEnd"/>
    </w:p>
    <w:p w14:paraId="3ECDFFAA" w14:textId="77777777" w:rsidR="00622E44" w:rsidRPr="006D0DEC" w:rsidRDefault="00F47FDE" w:rsidP="006D0DEC">
      <w:pPr>
        <w:pStyle w:val="ListParagraph"/>
        <w:widowControl w:val="0"/>
        <w:numPr>
          <w:ilvl w:val="0"/>
          <w:numId w:val="46"/>
        </w:numPr>
        <w:pBdr>
          <w:top w:val="single" w:sz="4" w:space="0" w:color="auto"/>
          <w:left w:val="single" w:sz="4" w:space="18" w:color="auto"/>
          <w:bottom w:val="single" w:sz="4" w:space="0" w:color="auto"/>
          <w:right w:val="single" w:sz="4" w:space="0" w:color="auto"/>
        </w:pBdr>
        <w:shd w:val="clear" w:color="auto" w:fill="FFFFFF"/>
        <w:tabs>
          <w:tab w:val="left" w:pos="355"/>
        </w:tabs>
        <w:spacing w:before="0" w:after="0"/>
        <w:jc w:val="left"/>
        <w:rPr>
          <w:rFonts w:eastAsia="Times New Roman"/>
          <w:color w:val="000000"/>
          <w:szCs w:val="24"/>
          <w:lang w:eastAsia="hr-HR" w:bidi="hr-HR"/>
        </w:rPr>
        <w:sectPr w:rsidR="00622E44" w:rsidRPr="006D0DEC" w:rsidSect="00302C2E">
          <w:pgSz w:w="11900" w:h="16840"/>
          <w:pgMar w:top="1039" w:right="1243" w:bottom="1916" w:left="1387" w:header="611" w:footer="3" w:gutter="0"/>
          <w:cols w:space="720"/>
          <w:noEndnote/>
          <w:docGrid w:linePitch="360"/>
        </w:sectPr>
      </w:pPr>
      <w:r w:rsidRPr="006E0DCA">
        <w:rPr>
          <w:rFonts w:eastAsia="Times New Roman"/>
          <w:color w:val="000000"/>
          <w:szCs w:val="24"/>
          <w:lang w:eastAsia="hr-HR" w:bidi="hr-HR"/>
        </w:rPr>
        <w:t>Improved dialogu</w:t>
      </w:r>
      <w:r w:rsidRPr="006D0DEC">
        <w:rPr>
          <w:rFonts w:eastAsia="Times New Roman"/>
          <w:color w:val="000000"/>
          <w:szCs w:val="24"/>
          <w:lang w:eastAsia="hr-HR" w:bidi="hr-HR"/>
        </w:rPr>
        <w:t>e with national authorities.</w:t>
      </w:r>
    </w:p>
    <w:p w14:paraId="7FD5F013" w14:textId="4B7E222F" w:rsidR="00F47FDE" w:rsidRPr="00876122" w:rsidRDefault="00F47FDE" w:rsidP="00FA563B">
      <w:pPr>
        <w:pStyle w:val="Heading2"/>
        <w:rPr>
          <w:rFonts w:eastAsia="Times New Roman"/>
          <w:lang w:eastAsia="hr-HR" w:bidi="hr-HR"/>
        </w:rPr>
      </w:pPr>
      <w:bookmarkStart w:id="58" w:name="_Toc205461094"/>
      <w:r w:rsidRPr="00876122">
        <w:rPr>
          <w:rFonts w:eastAsia="Times New Roman"/>
          <w:lang w:eastAsia="hr-HR" w:bidi="hr-HR"/>
        </w:rPr>
        <w:lastRenderedPageBreak/>
        <w:t xml:space="preserve">Support </w:t>
      </w:r>
      <w:bookmarkStart w:id="59" w:name="_Hlk209522942"/>
      <w:r w:rsidR="008E3614">
        <w:rPr>
          <w:rFonts w:eastAsia="Times New Roman"/>
          <w:lang w:eastAsia="hr-HR" w:bidi="hr-HR"/>
        </w:rPr>
        <w:t>for</w:t>
      </w:r>
      <w:r w:rsidRPr="00876122">
        <w:rPr>
          <w:rFonts w:eastAsia="Times New Roman"/>
          <w:lang w:eastAsia="hr-HR" w:bidi="hr-HR"/>
        </w:rPr>
        <w:t xml:space="preserve"> </w:t>
      </w:r>
      <w:r w:rsidR="00611274">
        <w:rPr>
          <w:rFonts w:eastAsia="Times New Roman"/>
          <w:lang w:eastAsia="hr-HR" w:bidi="hr-HR"/>
        </w:rPr>
        <w:t xml:space="preserve">the </w:t>
      </w:r>
      <w:r w:rsidRPr="00876122">
        <w:rPr>
          <w:rFonts w:eastAsia="Times New Roman"/>
          <w:lang w:eastAsia="hr-HR" w:bidi="hr-HR"/>
        </w:rPr>
        <w:t>Council of Europe’s project on child-friendly justice (Phase II)</w:t>
      </w:r>
      <w:bookmarkEnd w:id="58"/>
      <w:bookmarkEnd w:id="59"/>
    </w:p>
    <w:p w14:paraId="4D680881" w14:textId="77777777" w:rsidR="00F47FDE" w:rsidRPr="00876122" w:rsidRDefault="00F47FDE" w:rsidP="00F47FDE">
      <w:pPr>
        <w:widowControl w:val="0"/>
        <w:shd w:val="clear" w:color="auto" w:fill="FFFFFF"/>
        <w:spacing w:before="0" w:after="20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Implementing entity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255"/>
      </w:tblGrid>
      <w:tr w:rsidR="00F47FDE" w:rsidRPr="00876122" w14:paraId="4B3132D1" w14:textId="77777777">
        <w:trPr>
          <w:trHeight w:val="375"/>
        </w:trPr>
        <w:tc>
          <w:tcPr>
            <w:tcW w:w="9255" w:type="dxa"/>
            <w:tcMar>
              <w:left w:w="108" w:type="dxa"/>
              <w:right w:w="108" w:type="dxa"/>
            </w:tcMar>
          </w:tcPr>
          <w:p w14:paraId="2B1B2397" w14:textId="77777777" w:rsidR="00F47FDE" w:rsidRPr="00876122" w:rsidRDefault="00F47FDE" w:rsidP="00FA563B">
            <w:pPr>
              <w:shd w:val="clear" w:color="auto" w:fill="FFFFFF"/>
              <w:spacing w:before="0" w:after="0"/>
              <w:jc w:val="left"/>
              <w:rPr>
                <w:color w:val="000000"/>
              </w:rPr>
            </w:pPr>
            <w:r w:rsidRPr="00876122">
              <w:rPr>
                <w:color w:val="000000"/>
              </w:rPr>
              <w:t>Council of Europe</w:t>
            </w:r>
          </w:p>
        </w:tc>
      </w:tr>
    </w:tbl>
    <w:p w14:paraId="35132FFE" w14:textId="19684DCE" w:rsidR="00F47FDE" w:rsidRPr="00876122" w:rsidRDefault="00F47FDE" w:rsidP="00FA563B">
      <w:pPr>
        <w:widowControl w:val="0"/>
        <w:shd w:val="clear" w:color="auto" w:fill="FFFFFF"/>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Objectives pursued</w:t>
      </w:r>
    </w:p>
    <w:p w14:paraId="71291D8D" w14:textId="1AB4A6D3"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after="100"/>
        <w:rPr>
          <w:rFonts w:eastAsia="Times New Roman"/>
          <w:color w:val="000000"/>
          <w:szCs w:val="24"/>
          <w:lang w:eastAsia="hr-HR" w:bidi="hr-HR"/>
        </w:rPr>
      </w:pPr>
      <w:r w:rsidRPr="00876122">
        <w:rPr>
          <w:rFonts w:eastAsia="Times New Roman"/>
          <w:color w:val="000000"/>
          <w:szCs w:val="24"/>
          <w:lang w:eastAsia="hr-HR" w:bidi="hr-HR"/>
        </w:rPr>
        <w:t xml:space="preserve">Building on the achievements of </w:t>
      </w:r>
      <w:r w:rsidR="006E0DCA">
        <w:rPr>
          <w:rFonts w:eastAsia="Times New Roman"/>
          <w:color w:val="000000"/>
          <w:szCs w:val="24"/>
          <w:lang w:eastAsia="hr-HR" w:bidi="hr-HR"/>
        </w:rPr>
        <w:t xml:space="preserve">the </w:t>
      </w:r>
      <w:r w:rsidR="00161D45">
        <w:rPr>
          <w:rFonts w:eastAsia="Times New Roman"/>
          <w:color w:val="000000"/>
          <w:szCs w:val="24"/>
          <w:lang w:eastAsia="hr-HR" w:bidi="hr-HR"/>
        </w:rPr>
        <w:t xml:space="preserve">first phase of </w:t>
      </w:r>
      <w:r w:rsidRPr="00876122">
        <w:rPr>
          <w:rFonts w:eastAsia="Times New Roman"/>
          <w:color w:val="000000"/>
          <w:szCs w:val="24"/>
          <w:lang w:eastAsia="hr-HR" w:bidi="hr-HR"/>
        </w:rPr>
        <w:t>the EU-Council of Europe Project on child-friendly justice</w:t>
      </w:r>
      <w:r w:rsidR="000B443E">
        <w:rPr>
          <w:rFonts w:eastAsia="Times New Roman"/>
          <w:color w:val="000000"/>
          <w:szCs w:val="24"/>
          <w:lang w:eastAsia="hr-HR" w:bidi="hr-HR"/>
        </w:rPr>
        <w:t>.</w:t>
      </w:r>
      <w:r w:rsidRPr="00876122">
        <w:rPr>
          <w:rFonts w:eastAsia="Times New Roman"/>
          <w:color w:val="000000"/>
          <w:szCs w:val="24"/>
          <w:lang w:eastAsia="hr-HR" w:bidi="hr-HR"/>
        </w:rPr>
        <w:t>, the Phase II will aim at scaling up and adapting the Child-friendly Justice Assessment Tool in other EU Member States</w:t>
      </w:r>
      <w:r w:rsidR="00E77276" w:rsidRPr="00876122">
        <w:rPr>
          <w:rFonts w:eastAsia="Times New Roman"/>
          <w:color w:val="000000"/>
          <w:szCs w:val="24"/>
          <w:lang w:eastAsia="hr-HR" w:bidi="hr-HR"/>
        </w:rPr>
        <w:t xml:space="preserve"> </w:t>
      </w:r>
      <w:r w:rsidRPr="00876122">
        <w:rPr>
          <w:rFonts w:eastAsia="Times New Roman"/>
          <w:color w:val="000000"/>
          <w:szCs w:val="24"/>
          <w:lang w:eastAsia="hr-HR" w:bidi="hr-HR"/>
        </w:rPr>
        <w:t xml:space="preserve">and </w:t>
      </w:r>
      <w:r w:rsidR="00E77276" w:rsidRPr="00876122">
        <w:rPr>
          <w:rFonts w:eastAsia="Times New Roman"/>
          <w:color w:val="000000"/>
          <w:szCs w:val="24"/>
          <w:lang w:eastAsia="hr-HR" w:bidi="hr-HR"/>
        </w:rPr>
        <w:t xml:space="preserve">at </w:t>
      </w:r>
      <w:r w:rsidRPr="0077116A">
        <w:rPr>
          <w:rFonts w:eastAsia="Times New Roman"/>
          <w:color w:val="000000"/>
          <w:szCs w:val="24"/>
          <w:lang w:eastAsia="hr-HR" w:bidi="hr-HR"/>
        </w:rPr>
        <w:t xml:space="preserve">developing and piloting </w:t>
      </w:r>
      <w:r w:rsidR="00E77276" w:rsidRPr="0077116A">
        <w:rPr>
          <w:rFonts w:eastAsia="Times New Roman"/>
          <w:color w:val="000000"/>
          <w:szCs w:val="24"/>
          <w:lang w:eastAsia="hr-HR" w:bidi="hr-HR"/>
        </w:rPr>
        <w:t xml:space="preserve">some of its </w:t>
      </w:r>
      <w:r w:rsidRPr="0077116A">
        <w:rPr>
          <w:rFonts w:eastAsia="Times New Roman"/>
          <w:color w:val="000000"/>
          <w:szCs w:val="24"/>
          <w:lang w:eastAsia="hr-HR" w:bidi="hr-HR"/>
        </w:rPr>
        <w:t>annexes on new thematic areas.</w:t>
      </w:r>
    </w:p>
    <w:p w14:paraId="515F9A64" w14:textId="77777777" w:rsidR="00F47FDE" w:rsidRPr="00876122" w:rsidRDefault="00F47FDE" w:rsidP="00F47FDE">
      <w:pPr>
        <w:widowControl w:val="0"/>
        <w:shd w:val="clear" w:color="auto" w:fill="FFFFFF"/>
        <w:spacing w:before="0" w:after="28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w:t>
      </w:r>
    </w:p>
    <w:p w14:paraId="5BB2C505" w14:textId="4AA84471"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The phase II will be carried out in four selected EU Member States, ensuring a multi-stakeholder approach, and will aim</w:t>
      </w:r>
      <w:proofErr w:type="gramStart"/>
      <w:r w:rsidRPr="00876122">
        <w:rPr>
          <w:rFonts w:eastAsia="Times New Roman"/>
          <w:color w:val="000000"/>
          <w:szCs w:val="24"/>
          <w:lang w:eastAsia="hr-HR" w:bidi="hr-HR"/>
        </w:rPr>
        <w:t>, in particular, to</w:t>
      </w:r>
      <w:proofErr w:type="gramEnd"/>
      <w:r w:rsidRPr="00876122">
        <w:rPr>
          <w:rFonts w:eastAsia="Times New Roman"/>
          <w:color w:val="000000"/>
          <w:szCs w:val="24"/>
          <w:lang w:eastAsia="hr-HR" w:bidi="hr-HR"/>
        </w:rPr>
        <w:t xml:space="preserve"> achieve the following objectives:</w:t>
      </w:r>
    </w:p>
    <w:p w14:paraId="743D30B9" w14:textId="62FEB080"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 Child-friendly justice assessments carried out in two focus countries scaling up the Child-friendly Justice Assessment </w:t>
      </w:r>
      <w:proofErr w:type="gramStart"/>
      <w:r w:rsidRPr="00876122">
        <w:rPr>
          <w:rFonts w:eastAsia="Times New Roman"/>
          <w:color w:val="000000"/>
          <w:szCs w:val="24"/>
          <w:lang w:eastAsia="hr-HR" w:bidi="hr-HR"/>
        </w:rPr>
        <w:t>Tool;</w:t>
      </w:r>
      <w:proofErr w:type="gramEnd"/>
      <w:r w:rsidRPr="00876122">
        <w:rPr>
          <w:rFonts w:eastAsia="Times New Roman"/>
          <w:color w:val="000000"/>
          <w:szCs w:val="24"/>
          <w:lang w:eastAsia="hr-HR" w:bidi="hr-HR"/>
        </w:rPr>
        <w:t xml:space="preserve"> </w:t>
      </w:r>
    </w:p>
    <w:p w14:paraId="6A83163A" w14:textId="1F70B26A"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 Focusing further analysis on specific child-friendly justice areas, in consideration of the </w:t>
      </w:r>
      <w:proofErr w:type="spellStart"/>
      <w:r w:rsidRPr="00876122">
        <w:rPr>
          <w:rFonts w:eastAsia="Times New Roman"/>
          <w:color w:val="000000"/>
          <w:szCs w:val="24"/>
          <w:lang w:eastAsia="hr-HR" w:bidi="hr-HR"/>
        </w:rPr>
        <w:t>CoE</w:t>
      </w:r>
      <w:proofErr w:type="spellEnd"/>
      <w:r w:rsidRPr="00876122">
        <w:rPr>
          <w:rFonts w:eastAsia="Times New Roman"/>
          <w:color w:val="000000"/>
          <w:szCs w:val="24"/>
          <w:lang w:eastAsia="hr-HR" w:bidi="hr-HR"/>
        </w:rPr>
        <w:t xml:space="preserve"> guidelines and related U</w:t>
      </w:r>
      <w:r w:rsidR="00DF6207">
        <w:rPr>
          <w:rFonts w:eastAsia="Times New Roman"/>
          <w:color w:val="000000"/>
          <w:szCs w:val="24"/>
          <w:lang w:eastAsia="hr-HR" w:bidi="hr-HR"/>
        </w:rPr>
        <w:t>nion</w:t>
      </w:r>
      <w:r w:rsidRPr="00876122">
        <w:rPr>
          <w:rFonts w:eastAsia="Times New Roman"/>
          <w:color w:val="000000"/>
          <w:szCs w:val="24"/>
          <w:lang w:eastAsia="hr-HR" w:bidi="hr-HR"/>
        </w:rPr>
        <w:t xml:space="preserve"> </w:t>
      </w:r>
      <w:r w:rsidR="00876122">
        <w:rPr>
          <w:rFonts w:eastAsia="Times New Roman"/>
          <w:i/>
          <w:color w:val="000000"/>
          <w:szCs w:val="24"/>
          <w:lang w:eastAsia="hr-HR" w:bidi="hr-HR"/>
        </w:rPr>
        <w:t>acquis</w:t>
      </w:r>
      <w:r w:rsidRPr="00876122">
        <w:rPr>
          <w:rFonts w:eastAsia="Times New Roman"/>
          <w:color w:val="000000"/>
          <w:szCs w:val="24"/>
          <w:lang w:eastAsia="hr-HR" w:bidi="hr-HR"/>
        </w:rPr>
        <w:t>, such as: assessments on diversion and child-friendly alternatives to detention, restorative justice, prevention of first offence</w:t>
      </w:r>
      <w:r w:rsidR="006067F4">
        <w:rPr>
          <w:rFonts w:eastAsia="Times New Roman"/>
          <w:color w:val="000000"/>
          <w:szCs w:val="24"/>
          <w:lang w:eastAsia="hr-HR" w:bidi="hr-HR"/>
        </w:rPr>
        <w:t>s</w:t>
      </w:r>
      <w:r w:rsidRPr="00876122">
        <w:rPr>
          <w:rFonts w:eastAsia="Times New Roman"/>
          <w:color w:val="000000"/>
          <w:szCs w:val="24"/>
          <w:lang w:eastAsia="hr-HR" w:bidi="hr-HR"/>
        </w:rPr>
        <w:t xml:space="preserve"> and recidivism.</w:t>
      </w:r>
    </w:p>
    <w:p w14:paraId="41F89400" w14:textId="4179441B"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Related activ</w:t>
      </w:r>
      <w:r w:rsidR="00C75E10">
        <w:rPr>
          <w:rFonts w:eastAsia="Times New Roman"/>
          <w:color w:val="000000"/>
          <w:szCs w:val="24"/>
          <w:lang w:eastAsia="hr-HR" w:bidi="hr-HR"/>
        </w:rPr>
        <w:t>iti</w:t>
      </w:r>
      <w:r w:rsidRPr="00876122">
        <w:rPr>
          <w:rFonts w:eastAsia="Times New Roman"/>
          <w:color w:val="000000"/>
          <w:szCs w:val="24"/>
          <w:lang w:eastAsia="hr-HR" w:bidi="hr-HR"/>
        </w:rPr>
        <w:t>es could, for instance, take the form of:</w:t>
      </w:r>
    </w:p>
    <w:p w14:paraId="7852912C" w14:textId="671E34BA"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xml:space="preserve">- Roundtables and/or conferences to </w:t>
      </w:r>
      <w:r w:rsidR="00557F3A">
        <w:rPr>
          <w:rFonts w:eastAsia="Times New Roman"/>
          <w:color w:val="000000"/>
          <w:szCs w:val="24"/>
          <w:lang w:eastAsia="hr-HR" w:bidi="hr-HR"/>
        </w:rPr>
        <w:t xml:space="preserve">present and </w:t>
      </w:r>
      <w:r w:rsidRPr="00876122">
        <w:rPr>
          <w:rFonts w:eastAsia="Times New Roman"/>
          <w:color w:val="000000"/>
          <w:szCs w:val="24"/>
          <w:lang w:eastAsia="hr-HR" w:bidi="hr-HR"/>
        </w:rPr>
        <w:t>discuss reports o</w:t>
      </w:r>
      <w:r w:rsidR="00191C36">
        <w:rPr>
          <w:rFonts w:eastAsia="Times New Roman"/>
          <w:color w:val="000000"/>
          <w:szCs w:val="24"/>
          <w:lang w:eastAsia="hr-HR" w:bidi="hr-HR"/>
        </w:rPr>
        <w:t>n</w:t>
      </w:r>
      <w:r w:rsidRPr="00876122">
        <w:rPr>
          <w:rFonts w:eastAsia="Times New Roman"/>
          <w:color w:val="000000"/>
          <w:szCs w:val="24"/>
          <w:lang w:eastAsia="hr-HR" w:bidi="hr-HR"/>
        </w:rPr>
        <w:t xml:space="preserve"> child-friendly justice </w:t>
      </w:r>
      <w:proofErr w:type="gramStart"/>
      <w:r w:rsidRPr="00876122">
        <w:rPr>
          <w:rFonts w:eastAsia="Times New Roman"/>
          <w:color w:val="000000"/>
          <w:szCs w:val="24"/>
          <w:lang w:eastAsia="hr-HR" w:bidi="hr-HR"/>
        </w:rPr>
        <w:t>assessments;</w:t>
      </w:r>
      <w:proofErr w:type="gramEnd"/>
    </w:p>
    <w:p w14:paraId="129848A3" w14:textId="5B7375F6"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Training</w:t>
      </w:r>
      <w:r w:rsidR="00CF6C62">
        <w:rPr>
          <w:rFonts w:eastAsia="Times New Roman"/>
          <w:color w:val="000000"/>
          <w:szCs w:val="24"/>
          <w:lang w:eastAsia="hr-HR" w:bidi="hr-HR"/>
        </w:rPr>
        <w:t>-</w:t>
      </w:r>
      <w:r w:rsidRPr="00876122">
        <w:rPr>
          <w:rFonts w:eastAsia="Times New Roman"/>
          <w:color w:val="000000"/>
          <w:szCs w:val="24"/>
          <w:lang w:eastAsia="hr-HR" w:bidi="hr-HR"/>
        </w:rPr>
        <w:t>of</w:t>
      </w:r>
      <w:r w:rsidR="00CF6C62">
        <w:rPr>
          <w:rFonts w:eastAsia="Times New Roman"/>
          <w:color w:val="000000"/>
          <w:szCs w:val="24"/>
          <w:lang w:eastAsia="hr-HR" w:bidi="hr-HR"/>
        </w:rPr>
        <w:t>-</w:t>
      </w:r>
      <w:r w:rsidRPr="00876122">
        <w:rPr>
          <w:rFonts w:eastAsia="Times New Roman"/>
          <w:color w:val="000000"/>
          <w:szCs w:val="24"/>
          <w:lang w:eastAsia="hr-HR" w:bidi="hr-HR"/>
        </w:rPr>
        <w:t xml:space="preserve">trainers </w:t>
      </w:r>
      <w:proofErr w:type="gramStart"/>
      <w:r w:rsidRPr="00876122">
        <w:rPr>
          <w:rFonts w:eastAsia="Times New Roman"/>
          <w:color w:val="000000"/>
          <w:szCs w:val="24"/>
          <w:lang w:eastAsia="hr-HR" w:bidi="hr-HR"/>
        </w:rPr>
        <w:t>activities;</w:t>
      </w:r>
      <w:proofErr w:type="gramEnd"/>
    </w:p>
    <w:p w14:paraId="77274E3B" w14:textId="3583C1D6"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Awareness</w:t>
      </w:r>
      <w:r w:rsidR="00E71D44">
        <w:rPr>
          <w:rFonts w:eastAsia="Times New Roman"/>
          <w:color w:val="000000"/>
          <w:szCs w:val="24"/>
          <w:lang w:eastAsia="hr-HR" w:bidi="hr-HR"/>
        </w:rPr>
        <w:t>-</w:t>
      </w:r>
      <w:r w:rsidRPr="00876122">
        <w:rPr>
          <w:rFonts w:eastAsia="Times New Roman"/>
          <w:color w:val="000000"/>
          <w:szCs w:val="24"/>
          <w:lang w:eastAsia="hr-HR" w:bidi="hr-HR"/>
        </w:rPr>
        <w:t xml:space="preserve">raising sessions with and for children in contact with the law, including vulnerable groups of </w:t>
      </w:r>
      <w:proofErr w:type="gramStart"/>
      <w:r w:rsidRPr="00876122">
        <w:rPr>
          <w:rFonts w:eastAsia="Times New Roman"/>
          <w:color w:val="000000"/>
          <w:szCs w:val="24"/>
          <w:lang w:eastAsia="hr-HR" w:bidi="hr-HR"/>
        </w:rPr>
        <w:t>children;</w:t>
      </w:r>
      <w:proofErr w:type="gramEnd"/>
    </w:p>
    <w:p w14:paraId="39F13667" w14:textId="0CD9A129" w:rsidR="00F47FDE" w:rsidRPr="00876122" w:rsidRDefault="00F47FDE" w:rsidP="00F47FDE">
      <w:pPr>
        <w:widowControl w:val="0"/>
        <w:pBdr>
          <w:top w:val="single" w:sz="8" w:space="0" w:color="000000"/>
          <w:left w:val="single" w:sz="8" w:space="0" w:color="000000"/>
          <w:bottom w:val="single" w:sz="8" w:space="0" w:color="000000"/>
          <w:right w:val="single" w:sz="8" w:space="0" w:color="000000"/>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 Awareness</w:t>
      </w:r>
      <w:r w:rsidR="00933CA3">
        <w:rPr>
          <w:rFonts w:eastAsia="Times New Roman"/>
          <w:color w:val="000000"/>
          <w:szCs w:val="24"/>
          <w:lang w:eastAsia="hr-HR" w:bidi="hr-HR"/>
        </w:rPr>
        <w:t>-</w:t>
      </w:r>
      <w:r w:rsidRPr="00876122">
        <w:rPr>
          <w:rFonts w:eastAsia="Times New Roman"/>
          <w:color w:val="000000"/>
          <w:szCs w:val="24"/>
          <w:lang w:eastAsia="hr-HR" w:bidi="hr-HR"/>
        </w:rPr>
        <w:t>raising sessions for carers developed with</w:t>
      </w:r>
      <w:r w:rsidR="005515AE">
        <w:rPr>
          <w:rFonts w:eastAsia="Times New Roman"/>
          <w:color w:val="000000"/>
          <w:szCs w:val="24"/>
          <w:lang w:eastAsia="hr-HR" w:bidi="hr-HR"/>
        </w:rPr>
        <w:t xml:space="preserve"> input from</w:t>
      </w:r>
      <w:r w:rsidRPr="00876122">
        <w:rPr>
          <w:rFonts w:eastAsia="Times New Roman"/>
          <w:color w:val="000000"/>
          <w:szCs w:val="24"/>
          <w:lang w:eastAsia="hr-HR" w:bidi="hr-HR"/>
        </w:rPr>
        <w:t xml:space="preserve"> children in contact with the law.</w:t>
      </w:r>
    </w:p>
    <w:p w14:paraId="75C0E8C1" w14:textId="77777777" w:rsidR="00F47FDE" w:rsidRPr="00876122" w:rsidRDefault="00F47FDE" w:rsidP="00F47FDE">
      <w:pPr>
        <w:widowControl w:val="0"/>
        <w:shd w:val="clear" w:color="auto" w:fill="FFFFFF"/>
        <w:spacing w:before="0" w:line="288" w:lineRule="auto"/>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Expected results</w:t>
      </w:r>
    </w:p>
    <w:p w14:paraId="04AE1E11" w14:textId="67DA00CA" w:rsidR="00F47FDE" w:rsidRPr="00876122" w:rsidRDefault="00ED306F" w:rsidP="00E77276">
      <w:pPr>
        <w:pStyle w:val="ListParagraph"/>
        <w:widowControl w:val="0"/>
        <w:numPr>
          <w:ilvl w:val="0"/>
          <w:numId w:val="36"/>
        </w:numPr>
        <w:pBdr>
          <w:top w:val="single" w:sz="8" w:space="0" w:color="000000"/>
          <w:left w:val="single" w:sz="8" w:space="19" w:color="000000"/>
          <w:bottom w:val="single" w:sz="8" w:space="0" w:color="000000"/>
          <w:right w:val="single" w:sz="8" w:space="0" w:color="000000"/>
        </w:pBdr>
        <w:shd w:val="clear" w:color="auto" w:fill="FFFFFF"/>
        <w:spacing w:before="0" w:after="0" w:line="276" w:lineRule="auto"/>
        <w:rPr>
          <w:rFonts w:eastAsia="Times New Roman"/>
          <w:szCs w:val="24"/>
        </w:rPr>
      </w:pPr>
      <w:r>
        <w:rPr>
          <w:rFonts w:eastAsia="Times New Roman"/>
          <w:szCs w:val="24"/>
        </w:rPr>
        <w:t xml:space="preserve">Improved </w:t>
      </w:r>
      <w:r w:rsidR="00383C85">
        <w:rPr>
          <w:rFonts w:eastAsia="Times New Roman"/>
          <w:szCs w:val="24"/>
        </w:rPr>
        <w:t>c</w:t>
      </w:r>
      <w:r w:rsidR="00F47FDE" w:rsidRPr="00876122">
        <w:rPr>
          <w:rFonts w:eastAsia="Times New Roman"/>
          <w:szCs w:val="24"/>
        </w:rPr>
        <w:t>hild-friendly justice mechanisms and practice</w:t>
      </w:r>
      <w:r w:rsidR="0078676B">
        <w:rPr>
          <w:rFonts w:eastAsia="Times New Roman"/>
          <w:szCs w:val="24"/>
        </w:rPr>
        <w:t>s</w:t>
      </w:r>
      <w:r w:rsidR="00F47FDE" w:rsidRPr="00876122">
        <w:rPr>
          <w:rFonts w:eastAsia="Times New Roman"/>
          <w:szCs w:val="24"/>
        </w:rPr>
        <w:t xml:space="preserve"> at national </w:t>
      </w:r>
      <w:proofErr w:type="gramStart"/>
      <w:r w:rsidR="00F47FDE" w:rsidRPr="00876122">
        <w:rPr>
          <w:rFonts w:eastAsia="Times New Roman"/>
          <w:szCs w:val="24"/>
        </w:rPr>
        <w:t>level;</w:t>
      </w:r>
      <w:proofErr w:type="gramEnd"/>
    </w:p>
    <w:p w14:paraId="26C41FA9" w14:textId="5FAEE835" w:rsidR="00F47FDE" w:rsidRPr="00876122" w:rsidRDefault="00741917" w:rsidP="00E77276">
      <w:pPr>
        <w:pStyle w:val="ListParagraph"/>
        <w:widowControl w:val="0"/>
        <w:numPr>
          <w:ilvl w:val="0"/>
          <w:numId w:val="36"/>
        </w:numPr>
        <w:pBdr>
          <w:top w:val="single" w:sz="8" w:space="0" w:color="000000"/>
          <w:left w:val="single" w:sz="8" w:space="19" w:color="000000"/>
          <w:bottom w:val="single" w:sz="8" w:space="0" w:color="000000"/>
          <w:right w:val="single" w:sz="8" w:space="0" w:color="000000"/>
        </w:pBdr>
        <w:shd w:val="clear" w:color="auto" w:fill="FFFFFF"/>
        <w:spacing w:before="0" w:after="0" w:line="276" w:lineRule="auto"/>
        <w:rPr>
          <w:rFonts w:eastAsia="Times New Roman"/>
          <w:szCs w:val="24"/>
        </w:rPr>
      </w:pPr>
      <w:r>
        <w:rPr>
          <w:rFonts w:eastAsia="Times New Roman"/>
          <w:szCs w:val="24"/>
        </w:rPr>
        <w:t>G</w:t>
      </w:r>
      <w:r w:rsidR="00F47FDE" w:rsidRPr="00876122">
        <w:rPr>
          <w:rFonts w:eastAsia="Times New Roman"/>
          <w:szCs w:val="24"/>
        </w:rPr>
        <w:t>aps in legal and policy frameworks</w:t>
      </w:r>
      <w:r>
        <w:rPr>
          <w:rFonts w:eastAsia="Times New Roman"/>
          <w:szCs w:val="24"/>
        </w:rPr>
        <w:t xml:space="preserve"> identified </w:t>
      </w:r>
      <w:r w:rsidR="00CD4E4B">
        <w:rPr>
          <w:rFonts w:eastAsia="Times New Roman"/>
          <w:szCs w:val="24"/>
        </w:rPr>
        <w:t>in two focus countries</w:t>
      </w:r>
      <w:r w:rsidR="00123EC0">
        <w:rPr>
          <w:rFonts w:eastAsia="Times New Roman"/>
          <w:szCs w:val="24"/>
        </w:rPr>
        <w:t xml:space="preserve"> followed by the</w:t>
      </w:r>
      <w:r w:rsidR="00F47FDE" w:rsidRPr="00876122">
        <w:rPr>
          <w:rFonts w:eastAsia="Times New Roman"/>
          <w:szCs w:val="24"/>
        </w:rPr>
        <w:t xml:space="preserve"> </w:t>
      </w:r>
      <w:r w:rsidR="00CD4E4B">
        <w:rPr>
          <w:rFonts w:eastAsia="Times New Roman"/>
          <w:szCs w:val="24"/>
        </w:rPr>
        <w:t xml:space="preserve">adoption of </w:t>
      </w:r>
      <w:r w:rsidR="00F47FDE" w:rsidRPr="001A17E6">
        <w:rPr>
          <w:rFonts w:eastAsia="Times New Roman"/>
          <w:szCs w:val="24"/>
        </w:rPr>
        <w:t>appropriate</w:t>
      </w:r>
      <w:r w:rsidR="00F47FDE" w:rsidRPr="00876122">
        <w:rPr>
          <w:rFonts w:eastAsia="Times New Roman"/>
          <w:szCs w:val="24"/>
        </w:rPr>
        <w:t xml:space="preserve"> measures and initiatives to ensure effective child-friendly </w:t>
      </w:r>
      <w:proofErr w:type="gramStart"/>
      <w:r w:rsidR="00F47FDE" w:rsidRPr="00876122">
        <w:rPr>
          <w:rFonts w:eastAsia="Times New Roman"/>
          <w:szCs w:val="24"/>
        </w:rPr>
        <w:t>justice;</w:t>
      </w:r>
      <w:proofErr w:type="gramEnd"/>
    </w:p>
    <w:p w14:paraId="4CFF53AF" w14:textId="65C03ED2" w:rsidR="00F47FDE" w:rsidRPr="00876122" w:rsidRDefault="00C648CD" w:rsidP="00E77276">
      <w:pPr>
        <w:pStyle w:val="ListParagraph"/>
        <w:widowControl w:val="0"/>
        <w:numPr>
          <w:ilvl w:val="0"/>
          <w:numId w:val="36"/>
        </w:numPr>
        <w:pBdr>
          <w:top w:val="single" w:sz="8" w:space="0" w:color="000000"/>
          <w:left w:val="single" w:sz="8" w:space="19" w:color="000000"/>
          <w:bottom w:val="single" w:sz="8" w:space="0" w:color="000000"/>
          <w:right w:val="single" w:sz="8" w:space="0" w:color="000000"/>
        </w:pBdr>
        <w:shd w:val="clear" w:color="auto" w:fill="FFFFFF"/>
        <w:spacing w:before="0" w:after="0" w:line="276" w:lineRule="auto"/>
        <w:rPr>
          <w:rFonts w:eastAsia="Times New Roman"/>
          <w:szCs w:val="24"/>
        </w:rPr>
      </w:pPr>
      <w:r>
        <w:rPr>
          <w:rFonts w:eastAsia="Times New Roman"/>
          <w:szCs w:val="24"/>
        </w:rPr>
        <w:t>Strengthened c</w:t>
      </w:r>
      <w:r w:rsidR="00F47FDE" w:rsidRPr="00876122">
        <w:rPr>
          <w:rFonts w:eastAsia="Times New Roman"/>
          <w:szCs w:val="24"/>
        </w:rPr>
        <w:t xml:space="preserve">apacities of stakeholders to ensure effective child-friendly </w:t>
      </w:r>
      <w:proofErr w:type="gramStart"/>
      <w:r w:rsidR="00F47FDE" w:rsidRPr="00876122">
        <w:rPr>
          <w:rFonts w:eastAsia="Times New Roman"/>
          <w:szCs w:val="24"/>
        </w:rPr>
        <w:t>justice;</w:t>
      </w:r>
      <w:proofErr w:type="gramEnd"/>
    </w:p>
    <w:p w14:paraId="7A3A50BD" w14:textId="1FFA7E92" w:rsidR="00F47FDE" w:rsidRPr="00876122" w:rsidRDefault="00C648CD" w:rsidP="00E77276">
      <w:pPr>
        <w:pStyle w:val="ListParagraph"/>
        <w:widowControl w:val="0"/>
        <w:numPr>
          <w:ilvl w:val="0"/>
          <w:numId w:val="36"/>
        </w:numPr>
        <w:pBdr>
          <w:top w:val="single" w:sz="8" w:space="0" w:color="000000"/>
          <w:left w:val="single" w:sz="8" w:space="19" w:color="000000"/>
          <w:bottom w:val="single" w:sz="8" w:space="0" w:color="000000"/>
          <w:right w:val="single" w:sz="8" w:space="0" w:color="000000"/>
        </w:pBdr>
        <w:shd w:val="clear" w:color="auto" w:fill="FFFFFF"/>
        <w:spacing w:before="0" w:after="0" w:line="276" w:lineRule="auto"/>
        <w:rPr>
          <w:rFonts w:eastAsia="Times New Roman"/>
          <w:szCs w:val="24"/>
        </w:rPr>
      </w:pPr>
      <w:r>
        <w:rPr>
          <w:rFonts w:eastAsia="Times New Roman"/>
          <w:szCs w:val="24"/>
        </w:rPr>
        <w:t>Increased awarene</w:t>
      </w:r>
      <w:r w:rsidR="00C03F71">
        <w:rPr>
          <w:rFonts w:eastAsia="Times New Roman"/>
          <w:szCs w:val="24"/>
        </w:rPr>
        <w:t>ss of c</w:t>
      </w:r>
      <w:r w:rsidR="00F47FDE" w:rsidRPr="00876122">
        <w:rPr>
          <w:rFonts w:eastAsia="Times New Roman"/>
          <w:szCs w:val="24"/>
        </w:rPr>
        <w:t>hildren and carers about the rights of children in contact with the law.</w:t>
      </w:r>
    </w:p>
    <w:p w14:paraId="2B268C19" w14:textId="77777777" w:rsidR="00F47FDE" w:rsidRPr="00876122" w:rsidRDefault="00F47FDE" w:rsidP="00F47FDE">
      <w:pPr>
        <w:widowControl w:val="0"/>
        <w:shd w:val="clear" w:color="auto" w:fill="FFFFFF"/>
        <w:spacing w:before="0" w:after="0"/>
        <w:jc w:val="left"/>
        <w:rPr>
          <w:rFonts w:eastAsia="Times New Roman"/>
          <w:color w:val="000000"/>
          <w:szCs w:val="24"/>
          <w:lang w:eastAsia="hr-HR" w:bidi="hr-HR"/>
        </w:rPr>
      </w:pPr>
      <w:r w:rsidRPr="00876122">
        <w:rPr>
          <w:rFonts w:eastAsia="Times New Roman"/>
          <w:color w:val="000000"/>
          <w:szCs w:val="24"/>
          <w:lang w:eastAsia="hr-HR" w:bidi="hr-HR"/>
        </w:rPr>
        <w:br w:type="page"/>
      </w:r>
    </w:p>
    <w:p w14:paraId="00D95934" w14:textId="103D7390" w:rsidR="00F47FDE" w:rsidRPr="00876122" w:rsidRDefault="00F47FDE" w:rsidP="00345886">
      <w:pPr>
        <w:pStyle w:val="Heading1"/>
        <w:rPr>
          <w:rFonts w:eastAsia="Times New Roman"/>
          <w:lang w:eastAsia="hr-HR" w:bidi="hr-HR"/>
        </w:rPr>
      </w:pPr>
      <w:bookmarkStart w:id="60" w:name="bookmark103"/>
      <w:bookmarkStart w:id="61" w:name="_Toc205461095"/>
      <w:r w:rsidRPr="00876122">
        <w:rPr>
          <w:rFonts w:eastAsia="Times New Roman"/>
          <w:lang w:eastAsia="hr-HR" w:bidi="hr-HR"/>
        </w:rPr>
        <w:lastRenderedPageBreak/>
        <w:t>Other actions or expenditure</w:t>
      </w:r>
      <w:bookmarkEnd w:id="60"/>
      <w:bookmarkEnd w:id="61"/>
    </w:p>
    <w:p w14:paraId="2D3FC342" w14:textId="6DE79AE3" w:rsidR="00F47FDE" w:rsidRPr="00876122" w:rsidRDefault="00F47FDE" w:rsidP="00345886">
      <w:pPr>
        <w:pStyle w:val="Heading2"/>
        <w:rPr>
          <w:rFonts w:eastAsia="Times New Roman"/>
          <w:lang w:eastAsia="hr-HR" w:bidi="hr-HR"/>
        </w:rPr>
      </w:pPr>
      <w:bookmarkStart w:id="62" w:name="bookmark106"/>
      <w:bookmarkStart w:id="63" w:name="bookmark105"/>
      <w:bookmarkStart w:id="64" w:name="_Toc205461096"/>
      <w:r w:rsidRPr="00876122">
        <w:rPr>
          <w:rFonts w:eastAsia="Times New Roman"/>
          <w:lang w:eastAsia="hr-HR" w:bidi="hr-HR"/>
        </w:rPr>
        <w:t>EU membership fee in the Hague Conference of Private International Law</w:t>
      </w:r>
      <w:bookmarkEnd w:id="62"/>
      <w:bookmarkEnd w:id="63"/>
      <w:bookmarkEnd w:id="64"/>
    </w:p>
    <w:p w14:paraId="02328AA1" w14:textId="77777777" w:rsidR="00F47FDE" w:rsidRPr="00876122" w:rsidRDefault="00F47FDE" w:rsidP="00F47FDE">
      <w:pPr>
        <w:widowControl w:val="0"/>
        <w:shd w:val="clear" w:color="auto" w:fill="FFFFFF"/>
        <w:spacing w:before="0" w:after="240"/>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Legal basis</w:t>
      </w:r>
    </w:p>
    <w:p w14:paraId="67FD04AF" w14:textId="5ACA379E"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rPr>
          <w:rFonts w:eastAsia="Times New Roman"/>
          <w:color w:val="000000"/>
          <w:szCs w:val="24"/>
          <w:lang w:eastAsia="hr-HR" w:bidi="hr-HR"/>
        </w:rPr>
      </w:pPr>
      <w:r w:rsidRPr="00876122">
        <w:rPr>
          <w:rFonts w:eastAsia="Times New Roman"/>
          <w:color w:val="000000"/>
          <w:szCs w:val="24"/>
          <w:lang w:eastAsia="hr-HR" w:bidi="hr-HR"/>
        </w:rPr>
        <w:t>Art</w:t>
      </w:r>
      <w:r w:rsidR="00B770B5">
        <w:rPr>
          <w:rFonts w:eastAsia="Times New Roman"/>
          <w:color w:val="000000"/>
          <w:szCs w:val="24"/>
          <w:lang w:eastAsia="hr-HR" w:bidi="hr-HR"/>
        </w:rPr>
        <w:t>icle</w:t>
      </w:r>
      <w:r w:rsidR="00876122">
        <w:rPr>
          <w:rFonts w:eastAsia="Times New Roman"/>
          <w:color w:val="000000"/>
          <w:szCs w:val="24"/>
          <w:lang w:eastAsia="hr-HR" w:bidi="hr-HR"/>
        </w:rPr>
        <w:t> </w:t>
      </w:r>
      <w:r w:rsidRPr="00876122">
        <w:rPr>
          <w:rFonts w:eastAsia="Times New Roman"/>
          <w:color w:val="000000"/>
          <w:szCs w:val="24"/>
          <w:lang w:eastAsia="hr-HR" w:bidi="hr-HR"/>
        </w:rPr>
        <w:t xml:space="preserve">3(2)(a) </w:t>
      </w:r>
      <w:r w:rsidR="00955ABC">
        <w:rPr>
          <w:rFonts w:eastAsia="Times New Roman"/>
          <w:color w:val="000000"/>
          <w:szCs w:val="24"/>
          <w:lang w:eastAsia="hr-HR" w:bidi="hr-HR"/>
        </w:rPr>
        <w:t xml:space="preserve">of </w:t>
      </w:r>
      <w:r w:rsidRPr="00876122">
        <w:rPr>
          <w:rFonts w:eastAsia="Times New Roman"/>
          <w:color w:val="000000"/>
          <w:szCs w:val="24"/>
          <w:lang w:eastAsia="hr-HR" w:bidi="hr-HR"/>
        </w:rPr>
        <w:t xml:space="preserve">Regulation (EU) </w:t>
      </w:r>
      <w:r w:rsidRPr="00876122">
        <w:rPr>
          <w:rFonts w:eastAsia="Times New Roman"/>
          <w:color w:val="000000"/>
          <w:szCs w:val="24"/>
          <w:lang w:eastAsia="bg-BG" w:bidi="bg-BG"/>
        </w:rPr>
        <w:t xml:space="preserve">2021/693 </w:t>
      </w:r>
    </w:p>
    <w:p w14:paraId="70A9ACFD" w14:textId="4F0D6E31"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rPr>
          <w:rFonts w:eastAsia="Times New Roman"/>
          <w:color w:val="000000"/>
          <w:szCs w:val="24"/>
          <w:lang w:eastAsia="hr-HR" w:bidi="hr-HR"/>
        </w:rPr>
      </w:pPr>
      <w:r w:rsidRPr="00876122">
        <w:rPr>
          <w:rFonts w:eastAsia="Times New Roman"/>
          <w:color w:val="000000"/>
          <w:szCs w:val="24"/>
          <w:lang w:eastAsia="hr-HR" w:bidi="hr-HR"/>
        </w:rPr>
        <w:t>Council Decision (EC) No</w:t>
      </w:r>
      <w:r w:rsidR="00876122">
        <w:rPr>
          <w:rFonts w:eastAsia="Times New Roman"/>
          <w:color w:val="000000"/>
          <w:szCs w:val="24"/>
          <w:lang w:eastAsia="hr-HR" w:bidi="hr-HR"/>
        </w:rPr>
        <w:t> </w:t>
      </w:r>
      <w:r w:rsidRPr="00876122">
        <w:rPr>
          <w:rFonts w:eastAsia="Times New Roman"/>
          <w:color w:val="000000"/>
          <w:szCs w:val="24"/>
          <w:lang w:eastAsia="bg-BG" w:bidi="bg-BG"/>
        </w:rPr>
        <w:t xml:space="preserve">2006/719 </w:t>
      </w:r>
      <w:r w:rsidRPr="00876122">
        <w:rPr>
          <w:rFonts w:eastAsia="Times New Roman"/>
          <w:color w:val="000000"/>
          <w:szCs w:val="24"/>
          <w:lang w:eastAsia="hr-HR" w:bidi="hr-HR"/>
        </w:rPr>
        <w:t xml:space="preserve">of </w:t>
      </w:r>
      <w:r w:rsidRPr="00876122">
        <w:rPr>
          <w:rFonts w:eastAsia="Times New Roman"/>
          <w:color w:val="000000"/>
          <w:szCs w:val="24"/>
          <w:lang w:eastAsia="bg-BG" w:bidi="bg-BG"/>
        </w:rPr>
        <w:t>5</w:t>
      </w:r>
      <w:r w:rsidR="00876122">
        <w:rPr>
          <w:rFonts w:eastAsia="Times New Roman"/>
          <w:color w:val="000000"/>
          <w:szCs w:val="24"/>
          <w:lang w:eastAsia="bg-BG" w:bidi="bg-BG"/>
        </w:rPr>
        <w:t> </w:t>
      </w:r>
      <w:r w:rsidRPr="00876122">
        <w:rPr>
          <w:rFonts w:eastAsia="Times New Roman"/>
          <w:color w:val="000000"/>
          <w:szCs w:val="24"/>
          <w:lang w:eastAsia="hr-HR" w:bidi="hr-HR"/>
        </w:rPr>
        <w:t xml:space="preserve">October </w:t>
      </w:r>
      <w:r w:rsidRPr="00876122">
        <w:rPr>
          <w:rFonts w:eastAsia="Times New Roman"/>
          <w:color w:val="000000"/>
          <w:szCs w:val="24"/>
          <w:lang w:eastAsia="bg-BG" w:bidi="bg-BG"/>
        </w:rPr>
        <w:t xml:space="preserve">2006 </w:t>
      </w:r>
      <w:r w:rsidRPr="00876122">
        <w:rPr>
          <w:rFonts w:eastAsia="Times New Roman"/>
          <w:color w:val="000000"/>
          <w:szCs w:val="24"/>
          <w:lang w:eastAsia="hr-HR" w:bidi="hr-HR"/>
        </w:rPr>
        <w:t>on the accession of the Community to the Hague Conference on Private International Law</w:t>
      </w:r>
      <w:r w:rsidRPr="00876122">
        <w:rPr>
          <w:rStyle w:val="FootnoteReference"/>
        </w:rPr>
        <w:footnoteReference w:id="47"/>
      </w:r>
      <w:r w:rsidRPr="00876122">
        <w:rPr>
          <w:rFonts w:eastAsia="Times New Roman"/>
          <w:color w:val="000000"/>
          <w:szCs w:val="24"/>
          <w:lang w:eastAsia="hr-HR" w:bidi="hr-HR"/>
        </w:rPr>
        <w:t>.</w:t>
      </w:r>
    </w:p>
    <w:p w14:paraId="385E654A" w14:textId="77777777" w:rsidR="00F47FDE" w:rsidRPr="00876122" w:rsidRDefault="00F47FDE" w:rsidP="00F47FDE">
      <w:pPr>
        <w:widowControl w:val="0"/>
        <w:shd w:val="clear" w:color="auto" w:fill="FFFFFF"/>
        <w:spacing w:before="0" w:after="240" w:line="286" w:lineRule="auto"/>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Amount</w:t>
      </w:r>
    </w:p>
    <w:p w14:paraId="186099A2" w14:textId="35DA1D4D"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300"/>
        <w:ind w:firstLine="20"/>
        <w:rPr>
          <w:rFonts w:eastAsia="Times New Roman"/>
          <w:color w:val="000000"/>
          <w:szCs w:val="24"/>
          <w:lang w:eastAsia="hr-HR" w:bidi="hr-HR"/>
        </w:rPr>
      </w:pPr>
      <w:r w:rsidRPr="00876122">
        <w:rPr>
          <w:rFonts w:eastAsia="Times New Roman"/>
          <w:color w:val="000000"/>
          <w:szCs w:val="24"/>
          <w:lang w:eastAsia="hr-HR" w:bidi="hr-HR"/>
        </w:rPr>
        <w:t xml:space="preserve">The budget reserved is </w:t>
      </w:r>
      <w:r w:rsidR="00625E84">
        <w:rPr>
          <w:rFonts w:eastAsia="Times New Roman"/>
          <w:color w:val="000000"/>
          <w:szCs w:val="24"/>
          <w:lang w:eastAsia="bg-BG" w:bidi="bg-BG"/>
        </w:rPr>
        <w:t>EUR </w:t>
      </w:r>
      <w:r w:rsidRPr="00876122">
        <w:rPr>
          <w:rFonts w:eastAsia="Times New Roman"/>
          <w:color w:val="000000"/>
          <w:szCs w:val="24"/>
          <w:lang w:eastAsia="bg-BG" w:bidi="bg-BG"/>
        </w:rPr>
        <w:t>41</w:t>
      </w:r>
      <w:r w:rsidR="00876122">
        <w:rPr>
          <w:rFonts w:eastAsia="Times New Roman"/>
          <w:color w:val="000000"/>
          <w:szCs w:val="24"/>
          <w:lang w:eastAsia="bg-BG" w:bidi="bg-BG"/>
        </w:rPr>
        <w:t> </w:t>
      </w:r>
      <w:r w:rsidRPr="00876122">
        <w:rPr>
          <w:rFonts w:eastAsia="Times New Roman"/>
          <w:color w:val="000000"/>
          <w:szCs w:val="24"/>
          <w:lang w:eastAsia="bg-BG" w:bidi="bg-BG"/>
        </w:rPr>
        <w:t xml:space="preserve">500 </w:t>
      </w:r>
      <w:r w:rsidRPr="00876122">
        <w:rPr>
          <w:rFonts w:eastAsia="Times New Roman"/>
          <w:color w:val="000000"/>
          <w:szCs w:val="24"/>
          <w:lang w:eastAsia="hr-HR" w:bidi="hr-HR"/>
        </w:rPr>
        <w:t xml:space="preserve">for both </w:t>
      </w:r>
      <w:r w:rsidRPr="00876122">
        <w:rPr>
          <w:rFonts w:eastAsia="Times New Roman"/>
          <w:color w:val="000000"/>
          <w:szCs w:val="24"/>
          <w:lang w:eastAsia="bg-BG" w:bidi="bg-BG"/>
        </w:rPr>
        <w:t xml:space="preserve">2026 and 2027 </w:t>
      </w:r>
      <w:r w:rsidRPr="00876122">
        <w:rPr>
          <w:rFonts w:eastAsia="Times New Roman"/>
          <w:color w:val="000000"/>
          <w:szCs w:val="24"/>
          <w:lang w:eastAsia="hr-HR" w:bidi="hr-HR"/>
        </w:rPr>
        <w:t xml:space="preserve">(under budget line </w:t>
      </w:r>
      <w:r w:rsidRPr="00876122">
        <w:rPr>
          <w:rFonts w:eastAsia="Times New Roman"/>
          <w:color w:val="000000"/>
          <w:szCs w:val="24"/>
          <w:lang w:eastAsia="bg-BG" w:bidi="bg-BG"/>
        </w:rPr>
        <w:t xml:space="preserve">07 07 01: </w:t>
      </w:r>
      <w:r w:rsidRPr="00876122">
        <w:rPr>
          <w:rFonts w:eastAsia="Times New Roman"/>
          <w:color w:val="000000"/>
          <w:szCs w:val="24"/>
          <w:lang w:eastAsia="hr-HR" w:bidi="hr-HR"/>
        </w:rPr>
        <w:t>Promoting judicial cooperation)</w:t>
      </w:r>
    </w:p>
    <w:p w14:paraId="4CF295D8" w14:textId="77777777" w:rsidR="00F47FDE" w:rsidRPr="00876122" w:rsidRDefault="00F47FDE" w:rsidP="00F47FDE">
      <w:pPr>
        <w:widowControl w:val="0"/>
        <w:shd w:val="clear" w:color="auto" w:fill="FFFFFF"/>
        <w:spacing w:before="0" w:after="240"/>
        <w:jc w:val="left"/>
        <w:rPr>
          <w:rFonts w:eastAsia="Times New Roman"/>
          <w:b/>
          <w:bCs/>
          <w:smallCaps/>
          <w:color w:val="000000"/>
          <w:sz w:val="20"/>
          <w:szCs w:val="20"/>
          <w:lang w:eastAsia="hr-HR" w:bidi="hr-HR"/>
        </w:rPr>
      </w:pPr>
      <w:r w:rsidRPr="00876122">
        <w:rPr>
          <w:rFonts w:eastAsia="Times New Roman"/>
          <w:b/>
          <w:bCs/>
          <w:smallCaps/>
          <w:color w:val="000000"/>
          <w:sz w:val="20"/>
          <w:szCs w:val="20"/>
          <w:lang w:eastAsia="hr-HR" w:bidi="hr-HR"/>
        </w:rPr>
        <w:t>Description</w:t>
      </w:r>
    </w:p>
    <w:p w14:paraId="116B6FF0" w14:textId="040F3E6F" w:rsidR="00F47FDE" w:rsidRPr="00876122" w:rsidRDefault="00F47FDE" w:rsidP="00F47FDE">
      <w:pPr>
        <w:widowControl w:val="0"/>
        <w:pBdr>
          <w:top w:val="single" w:sz="4" w:space="0" w:color="auto"/>
          <w:left w:val="single" w:sz="4" w:space="0" w:color="auto"/>
          <w:bottom w:val="single" w:sz="4" w:space="0" w:color="auto"/>
          <w:right w:val="single" w:sz="4" w:space="0" w:color="auto"/>
        </w:pBdr>
        <w:shd w:val="clear" w:color="auto" w:fill="FFFFFF"/>
        <w:spacing w:before="0" w:after="280"/>
        <w:ind w:firstLine="20"/>
        <w:rPr>
          <w:rFonts w:eastAsia="Times New Roman"/>
          <w:color w:val="000000"/>
          <w:szCs w:val="24"/>
          <w:lang w:eastAsia="hr-HR" w:bidi="hr-HR"/>
        </w:rPr>
      </w:pPr>
      <w:r w:rsidRPr="00876122">
        <w:rPr>
          <w:rFonts w:eastAsia="Times New Roman"/>
          <w:color w:val="000000"/>
          <w:szCs w:val="24"/>
          <w:lang w:eastAsia="hr-HR" w:bidi="hr-HR"/>
        </w:rPr>
        <w:t xml:space="preserve">On </w:t>
      </w:r>
      <w:r w:rsidRPr="00876122">
        <w:rPr>
          <w:rFonts w:eastAsia="Times New Roman"/>
          <w:color w:val="000000"/>
          <w:szCs w:val="24"/>
          <w:lang w:eastAsia="bg-BG" w:bidi="bg-BG"/>
        </w:rPr>
        <w:t>5</w:t>
      </w:r>
      <w:r w:rsidR="00876122">
        <w:rPr>
          <w:rFonts w:eastAsia="Times New Roman"/>
          <w:color w:val="000000"/>
          <w:szCs w:val="24"/>
          <w:lang w:eastAsia="bg-BG" w:bidi="bg-BG"/>
        </w:rPr>
        <w:t> </w:t>
      </w:r>
      <w:r w:rsidRPr="00876122">
        <w:rPr>
          <w:rFonts w:eastAsia="Times New Roman"/>
          <w:color w:val="000000"/>
          <w:szCs w:val="24"/>
          <w:lang w:eastAsia="hr-HR" w:bidi="hr-HR"/>
        </w:rPr>
        <w:t xml:space="preserve">October </w:t>
      </w:r>
      <w:r w:rsidRPr="00876122">
        <w:rPr>
          <w:rFonts w:eastAsia="Times New Roman"/>
          <w:color w:val="000000"/>
          <w:szCs w:val="24"/>
          <w:lang w:eastAsia="bg-BG" w:bidi="bg-BG"/>
        </w:rPr>
        <w:t xml:space="preserve">2006, </w:t>
      </w:r>
      <w:r w:rsidRPr="00876122">
        <w:rPr>
          <w:rFonts w:eastAsia="Times New Roman"/>
          <w:color w:val="000000"/>
          <w:szCs w:val="24"/>
          <w:lang w:eastAsia="hr-HR" w:bidi="hr-HR"/>
        </w:rPr>
        <w:t>the Council of the European Union (EU) adopted a decision on the accession of the European Union to the Hague Conference on Private International Law (</w:t>
      </w:r>
      <w:r w:rsidR="00876122">
        <w:rPr>
          <w:rFonts w:eastAsia="Times New Roman"/>
          <w:color w:val="000000"/>
          <w:szCs w:val="24"/>
          <w:lang w:eastAsia="hr-HR" w:bidi="hr-HR"/>
        </w:rPr>
        <w:t>‘</w:t>
      </w:r>
      <w:r w:rsidRPr="00876122">
        <w:rPr>
          <w:rFonts w:eastAsia="Times New Roman"/>
          <w:color w:val="000000"/>
          <w:szCs w:val="24"/>
          <w:lang w:eastAsia="hr-HR" w:bidi="hr-HR"/>
        </w:rPr>
        <w:t>HCCH</w:t>
      </w:r>
      <w:r w:rsidR="00876122">
        <w:rPr>
          <w:rFonts w:eastAsia="Times New Roman"/>
          <w:color w:val="000000"/>
          <w:szCs w:val="24"/>
          <w:lang w:eastAsia="hr-HR" w:bidi="hr-HR"/>
        </w:rPr>
        <w:t>’</w:t>
      </w:r>
      <w:r w:rsidRPr="00876122">
        <w:rPr>
          <w:rFonts w:eastAsia="Times New Roman"/>
          <w:color w:val="000000"/>
          <w:szCs w:val="24"/>
          <w:lang w:eastAsia="hr-HR" w:bidi="hr-HR"/>
        </w:rPr>
        <w:t xml:space="preserve">). The purpose of this international intergovernmental organisation is to work for the progressive unification of the rules of private international law in the participating countries. Most of the conventions developed by the Hague Conference fall within </w:t>
      </w:r>
      <w:r w:rsidR="003C4263">
        <w:rPr>
          <w:rFonts w:eastAsia="Times New Roman"/>
          <w:color w:val="000000"/>
          <w:szCs w:val="24"/>
          <w:lang w:eastAsia="hr-HR" w:bidi="hr-HR"/>
        </w:rPr>
        <w:t xml:space="preserve">the </w:t>
      </w:r>
      <w:r w:rsidRPr="00876122">
        <w:rPr>
          <w:rFonts w:eastAsia="Times New Roman"/>
          <w:color w:val="000000"/>
          <w:szCs w:val="24"/>
          <w:lang w:eastAsia="hr-HR" w:bidi="hr-HR"/>
        </w:rPr>
        <w:t xml:space="preserve">exclusive or </w:t>
      </w:r>
      <w:r w:rsidRPr="0090532D">
        <w:rPr>
          <w:rFonts w:eastAsia="Times New Roman"/>
          <w:color w:val="000000"/>
          <w:szCs w:val="24"/>
          <w:lang w:eastAsia="hr-HR" w:bidi="hr-HR"/>
        </w:rPr>
        <w:t>partial external</w:t>
      </w:r>
      <w:r w:rsidRPr="00876122">
        <w:rPr>
          <w:rFonts w:eastAsia="Times New Roman"/>
          <w:color w:val="000000"/>
          <w:szCs w:val="24"/>
          <w:lang w:eastAsia="hr-HR" w:bidi="hr-HR"/>
        </w:rPr>
        <w:t xml:space="preserve"> competence of the EU and are part of the EU </w:t>
      </w:r>
      <w:r w:rsidR="00876122">
        <w:rPr>
          <w:rFonts w:eastAsia="Times New Roman"/>
          <w:i/>
          <w:color w:val="000000"/>
          <w:szCs w:val="24"/>
          <w:lang w:eastAsia="hr-HR" w:bidi="hr-HR"/>
        </w:rPr>
        <w:t>acquis</w:t>
      </w:r>
      <w:r w:rsidRPr="00876122">
        <w:rPr>
          <w:rFonts w:eastAsia="Times New Roman"/>
          <w:color w:val="000000"/>
          <w:szCs w:val="24"/>
          <w:lang w:eastAsia="hr-HR" w:bidi="hr-HR"/>
        </w:rPr>
        <w:t xml:space="preserve">. Since </w:t>
      </w:r>
      <w:r w:rsidRPr="00876122">
        <w:rPr>
          <w:rFonts w:eastAsia="Times New Roman"/>
          <w:color w:val="000000"/>
          <w:szCs w:val="24"/>
          <w:lang w:eastAsia="bg-BG" w:bidi="bg-BG"/>
        </w:rPr>
        <w:t xml:space="preserve">2007, </w:t>
      </w:r>
      <w:r w:rsidRPr="00876122">
        <w:rPr>
          <w:rFonts w:eastAsia="Times New Roman"/>
          <w:color w:val="000000"/>
          <w:szCs w:val="24"/>
          <w:lang w:eastAsia="hr-HR" w:bidi="hr-HR"/>
        </w:rPr>
        <w:t xml:space="preserve">the EU, along with its Member States, </w:t>
      </w:r>
      <w:r w:rsidRPr="00933926">
        <w:rPr>
          <w:rFonts w:eastAsia="Times New Roman"/>
          <w:color w:val="000000"/>
          <w:szCs w:val="24"/>
          <w:lang w:eastAsia="hr-HR" w:bidi="hr-HR"/>
        </w:rPr>
        <w:t>is a Member of the Hague Conference and has t</w:t>
      </w:r>
      <w:r w:rsidRPr="00876122">
        <w:rPr>
          <w:rFonts w:eastAsia="Times New Roman"/>
          <w:color w:val="000000"/>
          <w:szCs w:val="24"/>
          <w:lang w:eastAsia="hr-HR" w:bidi="hr-HR"/>
        </w:rPr>
        <w:t xml:space="preserve">he obligation to contribute a membership fee, in accordance with </w:t>
      </w:r>
      <w:r w:rsidR="00F12A4A" w:rsidRPr="00876122">
        <w:rPr>
          <w:rFonts w:eastAsia="Times New Roman"/>
          <w:color w:val="000000"/>
          <w:szCs w:val="24"/>
          <w:lang w:eastAsia="hr-HR" w:bidi="hr-HR"/>
        </w:rPr>
        <w:t>Art</w:t>
      </w:r>
      <w:r w:rsidR="00F12A4A">
        <w:rPr>
          <w:rFonts w:eastAsia="Times New Roman"/>
          <w:color w:val="000000"/>
          <w:szCs w:val="24"/>
          <w:lang w:eastAsia="hr-HR" w:bidi="hr-HR"/>
        </w:rPr>
        <w:t>icle</w:t>
      </w:r>
      <w:r w:rsidR="00876122">
        <w:rPr>
          <w:rFonts w:eastAsia="Times New Roman"/>
          <w:color w:val="000000"/>
          <w:szCs w:val="24"/>
          <w:lang w:eastAsia="hr-HR" w:bidi="hr-HR"/>
        </w:rPr>
        <w:t> </w:t>
      </w:r>
      <w:r w:rsidRPr="00876122">
        <w:rPr>
          <w:rFonts w:eastAsia="Times New Roman"/>
          <w:color w:val="000000"/>
          <w:szCs w:val="24"/>
          <w:lang w:eastAsia="bg-BG" w:bidi="bg-BG"/>
        </w:rPr>
        <w:t xml:space="preserve">9(2) </w:t>
      </w:r>
      <w:r w:rsidRPr="00876122">
        <w:rPr>
          <w:rFonts w:eastAsia="Times New Roman"/>
          <w:color w:val="000000"/>
          <w:szCs w:val="24"/>
          <w:lang w:eastAsia="hr-HR" w:bidi="hr-HR"/>
        </w:rPr>
        <w:t>of the Hague</w:t>
      </w:r>
      <w:r w:rsidR="00876122">
        <w:rPr>
          <w:rFonts w:eastAsia="Times New Roman"/>
          <w:color w:val="000000"/>
          <w:szCs w:val="24"/>
          <w:lang w:eastAsia="hr-HR" w:bidi="hr-HR"/>
        </w:rPr>
        <w:t>’</w:t>
      </w:r>
      <w:r w:rsidRPr="00876122">
        <w:rPr>
          <w:rFonts w:eastAsia="Times New Roman"/>
          <w:color w:val="000000"/>
          <w:szCs w:val="24"/>
          <w:lang w:eastAsia="hr-HR" w:bidi="hr-HR"/>
        </w:rPr>
        <w:t>s Statute</w:t>
      </w:r>
      <w:r w:rsidR="00B0334E">
        <w:rPr>
          <w:rStyle w:val="FootnoteReference"/>
          <w:rFonts w:eastAsia="Times New Roman"/>
          <w:color w:val="000000"/>
          <w:szCs w:val="24"/>
          <w:lang w:eastAsia="hr-HR" w:bidi="hr-HR"/>
        </w:rPr>
        <w:footnoteReference w:id="48"/>
      </w:r>
      <w:r w:rsidR="00F6163A">
        <w:rPr>
          <w:rFonts w:eastAsia="Times New Roman"/>
          <w:color w:val="000000"/>
          <w:szCs w:val="24"/>
          <w:lang w:eastAsia="hr-HR" w:bidi="hr-HR"/>
        </w:rPr>
        <w:t>,</w:t>
      </w:r>
      <w:r w:rsidRPr="00876122">
        <w:rPr>
          <w:rFonts w:eastAsia="Times New Roman"/>
          <w:color w:val="000000"/>
          <w:szCs w:val="24"/>
          <w:lang w:eastAsia="hr-HR" w:bidi="hr-HR"/>
        </w:rPr>
        <w:t xml:space="preserve"> to cover additional administrative expenses arising </w:t>
      </w:r>
      <w:r w:rsidR="004F7004">
        <w:rPr>
          <w:rFonts w:eastAsia="Times New Roman"/>
          <w:color w:val="000000"/>
          <w:szCs w:val="24"/>
          <w:lang w:eastAsia="hr-HR" w:bidi="hr-HR"/>
        </w:rPr>
        <w:t>from</w:t>
      </w:r>
      <w:r w:rsidRPr="00876122">
        <w:rPr>
          <w:rFonts w:eastAsia="Times New Roman"/>
          <w:color w:val="000000"/>
          <w:szCs w:val="24"/>
          <w:lang w:eastAsia="hr-HR" w:bidi="hr-HR"/>
        </w:rPr>
        <w:t xml:space="preserve"> its membership. The Union pursues its international action in relation to civil justice mainly through this international intergovernmental organisation. This international action in the field of civil justice covers both legislative action (in the form of civil judicial cooperation conventions) </w:t>
      </w:r>
      <w:r w:rsidR="00D40E3D">
        <w:rPr>
          <w:rFonts w:eastAsia="Times New Roman"/>
          <w:color w:val="000000"/>
          <w:szCs w:val="24"/>
          <w:lang w:eastAsia="hr-HR" w:bidi="hr-HR"/>
        </w:rPr>
        <w:t>and</w:t>
      </w:r>
      <w:r w:rsidRPr="00876122">
        <w:rPr>
          <w:rFonts w:eastAsia="Times New Roman"/>
          <w:color w:val="000000"/>
          <w:szCs w:val="24"/>
          <w:lang w:eastAsia="hr-HR" w:bidi="hr-HR"/>
        </w:rPr>
        <w:t xml:space="preserve"> implementation of existing Hague Conventions to the benefit of EU citizens.</w:t>
      </w:r>
      <w:r w:rsidRPr="00876122">
        <w:rPr>
          <w:rFonts w:eastAsia="Times New Roman"/>
          <w:color w:val="000000"/>
          <w:szCs w:val="24"/>
          <w:lang w:eastAsia="hr-HR" w:bidi="hr-HR"/>
        </w:rPr>
        <w:br w:type="page"/>
      </w:r>
    </w:p>
    <w:p w14:paraId="61B21650" w14:textId="77777777" w:rsidR="00F47FDE" w:rsidRPr="00876122" w:rsidRDefault="00F47FDE" w:rsidP="00F47FDE">
      <w:pPr>
        <w:keepNext/>
        <w:keepLines/>
        <w:widowControl w:val="0"/>
        <w:shd w:val="clear" w:color="auto" w:fill="FFFFFF"/>
        <w:spacing w:before="0" w:after="500"/>
        <w:jc w:val="center"/>
        <w:outlineLvl w:val="0"/>
        <w:rPr>
          <w:rFonts w:eastAsia="Times New Roman"/>
          <w:b/>
          <w:bCs/>
          <w:smallCaps/>
          <w:color w:val="000000"/>
          <w:szCs w:val="24"/>
          <w:lang w:eastAsia="hr-HR" w:bidi="hr-HR"/>
        </w:rPr>
      </w:pPr>
      <w:bookmarkStart w:id="65" w:name="bookmark109"/>
      <w:bookmarkStart w:id="66" w:name="bookmark108"/>
      <w:r w:rsidRPr="00876122">
        <w:rPr>
          <w:rFonts w:eastAsia="Times New Roman"/>
          <w:b/>
          <w:bCs/>
          <w:color w:val="000000"/>
          <w:szCs w:val="24"/>
          <w:lang w:eastAsia="hr-HR" w:bidi="hr-HR"/>
        </w:rPr>
        <w:lastRenderedPageBreak/>
        <w:t>INDICATIVE LEGISLATIVE INSTRUMENT REFERENCES</w:t>
      </w:r>
      <w:bookmarkEnd w:id="65"/>
      <w:bookmarkEnd w:id="66"/>
    </w:p>
    <w:tbl>
      <w:tblPr>
        <w:tblOverlap w:val="never"/>
        <w:tblW w:w="10061" w:type="dxa"/>
        <w:jc w:val="center"/>
        <w:tblLayout w:type="fixed"/>
        <w:tblCellMar>
          <w:left w:w="10" w:type="dxa"/>
          <w:right w:w="10" w:type="dxa"/>
        </w:tblCellMar>
        <w:tblLook w:val="04A0" w:firstRow="1" w:lastRow="0" w:firstColumn="1" w:lastColumn="0" w:noHBand="0" w:noVBand="1"/>
      </w:tblPr>
      <w:tblGrid>
        <w:gridCol w:w="5379"/>
        <w:gridCol w:w="6"/>
        <w:gridCol w:w="4676"/>
      </w:tblGrid>
      <w:tr w:rsidR="00F47FDE" w:rsidRPr="00876122" w14:paraId="150512A2" w14:textId="77777777" w:rsidTr="00764AE9">
        <w:trPr>
          <w:trHeight w:hRule="exact" w:val="485"/>
          <w:jc w:val="center"/>
        </w:trPr>
        <w:tc>
          <w:tcPr>
            <w:tcW w:w="5385" w:type="dxa"/>
            <w:gridSpan w:val="2"/>
            <w:tcBorders>
              <w:top w:val="single" w:sz="4" w:space="0" w:color="auto"/>
              <w:left w:val="single" w:sz="4" w:space="0" w:color="auto"/>
              <w:bottom w:val="single" w:sz="4" w:space="0" w:color="auto"/>
            </w:tcBorders>
            <w:vAlign w:val="center"/>
          </w:tcPr>
          <w:p w14:paraId="080EE9E3" w14:textId="77777777" w:rsidR="00F47FDE" w:rsidRPr="00876122" w:rsidRDefault="00F47FDE" w:rsidP="00433CF5">
            <w:pPr>
              <w:widowControl w:val="0"/>
              <w:shd w:val="clear" w:color="auto" w:fill="FFFFFF"/>
              <w:spacing w:before="0" w:after="0"/>
              <w:ind w:left="40" w:right="40" w:firstLine="240"/>
              <w:jc w:val="center"/>
              <w:rPr>
                <w:rFonts w:eastAsia="Times New Roman"/>
                <w:color w:val="000000"/>
                <w:sz w:val="20"/>
                <w:szCs w:val="20"/>
                <w:lang w:eastAsia="hr-HR" w:bidi="hr-HR"/>
              </w:rPr>
            </w:pPr>
            <w:r w:rsidRPr="00876122">
              <w:rPr>
                <w:rFonts w:eastAsia="Times New Roman"/>
                <w:b/>
                <w:bCs/>
                <w:color w:val="000000"/>
                <w:sz w:val="20"/>
                <w:szCs w:val="20"/>
                <w:lang w:eastAsia="hr-HR" w:bidi="hr-HR"/>
              </w:rPr>
              <w:t>Legislative instrument full name</w:t>
            </w:r>
          </w:p>
        </w:tc>
        <w:tc>
          <w:tcPr>
            <w:tcW w:w="4676" w:type="dxa"/>
            <w:tcBorders>
              <w:top w:val="single" w:sz="4" w:space="0" w:color="auto"/>
              <w:left w:val="single" w:sz="4" w:space="0" w:color="auto"/>
              <w:bottom w:val="single" w:sz="4" w:space="0" w:color="auto"/>
              <w:right w:val="single" w:sz="4" w:space="0" w:color="auto"/>
            </w:tcBorders>
            <w:vAlign w:val="center"/>
          </w:tcPr>
          <w:p w14:paraId="3F2F4F61" w14:textId="77777777" w:rsidR="00F47FDE" w:rsidRPr="00876122" w:rsidRDefault="00F47FDE" w:rsidP="00433CF5">
            <w:pPr>
              <w:widowControl w:val="0"/>
              <w:shd w:val="clear" w:color="auto" w:fill="FFFFFF"/>
              <w:spacing w:before="40" w:after="0"/>
              <w:ind w:firstLine="240"/>
              <w:jc w:val="center"/>
              <w:rPr>
                <w:rFonts w:eastAsia="Times New Roman"/>
                <w:color w:val="000000"/>
                <w:sz w:val="20"/>
                <w:szCs w:val="20"/>
                <w:lang w:eastAsia="hr-HR" w:bidi="hr-HR"/>
              </w:rPr>
            </w:pPr>
            <w:r w:rsidRPr="00876122">
              <w:rPr>
                <w:rFonts w:eastAsia="Times New Roman"/>
                <w:b/>
                <w:bCs/>
                <w:color w:val="000000"/>
                <w:sz w:val="20"/>
                <w:szCs w:val="20"/>
                <w:lang w:eastAsia="hr-HR" w:bidi="hr-HR"/>
              </w:rPr>
              <w:t>Reference</w:t>
            </w:r>
          </w:p>
        </w:tc>
      </w:tr>
      <w:tr w:rsidR="00764AE9" w:rsidRPr="00433CF5" w14:paraId="1246C710" w14:textId="77777777" w:rsidTr="00764AE9">
        <w:trPr>
          <w:trHeight w:val="782"/>
          <w:jc w:val="center"/>
        </w:trPr>
        <w:tc>
          <w:tcPr>
            <w:tcW w:w="5379" w:type="dxa"/>
            <w:tcBorders>
              <w:top w:val="single" w:sz="4" w:space="0" w:color="auto"/>
              <w:left w:val="single" w:sz="4" w:space="0" w:color="auto"/>
            </w:tcBorders>
            <w:vAlign w:val="center"/>
          </w:tcPr>
          <w:p w14:paraId="28D7D112" w14:textId="309C41B1"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hyperlink r:id="rId12" w:history="1">
              <w:r w:rsidRPr="00433CF5">
                <w:rPr>
                  <w:rFonts w:eastAsia="Times New Roman"/>
                  <w:color w:val="000000"/>
                  <w:sz w:val="20"/>
                  <w:szCs w:val="20"/>
                  <w:lang w:eastAsia="hr-HR" w:bidi="hr-HR"/>
                </w:rPr>
                <w:t xml:space="preserve">Council Framework Decision </w:t>
              </w:r>
              <w:r w:rsidRPr="00433CF5">
                <w:rPr>
                  <w:rFonts w:eastAsia="Times New Roman"/>
                  <w:b/>
                  <w:bCs/>
                  <w:color w:val="000000"/>
                  <w:sz w:val="20"/>
                  <w:szCs w:val="20"/>
                  <w:lang w:eastAsia="hr-HR" w:bidi="hr-HR"/>
                </w:rPr>
                <w:t xml:space="preserve">2002/584/JHA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13 </w:t>
              </w:r>
              <w:r w:rsidRPr="00433CF5">
                <w:rPr>
                  <w:rFonts w:eastAsia="Times New Roman"/>
                  <w:color w:val="000000"/>
                  <w:sz w:val="20"/>
                  <w:szCs w:val="20"/>
                  <w:lang w:eastAsia="hr-HR" w:bidi="hr-HR"/>
                </w:rPr>
                <w:t>June </w:t>
              </w:r>
              <w:r w:rsidRPr="00433CF5">
                <w:rPr>
                  <w:rFonts w:eastAsia="Times New Roman"/>
                  <w:color w:val="000000"/>
                  <w:sz w:val="20"/>
                  <w:szCs w:val="20"/>
                  <w:lang w:eastAsia="bg-BG" w:bidi="bg-BG"/>
                </w:rPr>
                <w:t>2002</w:t>
              </w:r>
            </w:hyperlink>
            <w:r w:rsidRPr="00433CF5">
              <w:rPr>
                <w:rFonts w:eastAsia="Times New Roman"/>
                <w:color w:val="000000"/>
                <w:sz w:val="20"/>
                <w:szCs w:val="20"/>
                <w:lang w:eastAsia="bg-BG" w:bidi="bg-BG"/>
              </w:rPr>
              <w:t xml:space="preserve"> </w:t>
            </w:r>
            <w:hyperlink r:id="rId13" w:history="1">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 xml:space="preserve">European arrest warrant </w:t>
              </w:r>
              <w:r w:rsidRPr="00433CF5">
                <w:rPr>
                  <w:rFonts w:eastAsia="Times New Roman"/>
                  <w:color w:val="000000"/>
                  <w:sz w:val="20"/>
                  <w:szCs w:val="20"/>
                  <w:lang w:eastAsia="hr-HR" w:bidi="hr-HR"/>
                </w:rPr>
                <w:t>and the surrender procedures</w:t>
              </w:r>
            </w:hyperlink>
            <w:r w:rsidRPr="00433CF5">
              <w:rPr>
                <w:rFonts w:eastAsia="Times New Roman"/>
                <w:color w:val="000000"/>
                <w:sz w:val="20"/>
                <w:szCs w:val="20"/>
                <w:lang w:eastAsia="hr-HR" w:bidi="hr-HR"/>
              </w:rPr>
              <w:t xml:space="preserve"> </w:t>
            </w:r>
            <w:hyperlink r:id="rId14" w:history="1">
              <w:r w:rsidRPr="00433CF5">
                <w:rPr>
                  <w:rFonts w:eastAsia="Times New Roman"/>
                  <w:color w:val="000000"/>
                  <w:sz w:val="20"/>
                  <w:szCs w:val="20"/>
                  <w:lang w:eastAsia="hr-HR" w:bidi="hr-HR"/>
                </w:rPr>
                <w:t>between Member States</w:t>
              </w:r>
            </w:hyperlink>
          </w:p>
        </w:tc>
        <w:tc>
          <w:tcPr>
            <w:tcW w:w="4682" w:type="dxa"/>
            <w:gridSpan w:val="2"/>
            <w:tcBorders>
              <w:top w:val="single" w:sz="4" w:space="0" w:color="auto"/>
              <w:left w:val="single" w:sz="4" w:space="0" w:color="auto"/>
              <w:right w:val="single" w:sz="4" w:space="0" w:color="auto"/>
            </w:tcBorders>
            <w:vAlign w:val="bottom"/>
          </w:tcPr>
          <w:p w14:paraId="7590E8C2"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190, 18.7.2002,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1-20</w:t>
            </w:r>
          </w:p>
          <w:p w14:paraId="533E42ED"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15" w:tooltip="Gives access to this document through its ELI URI." w:history="1">
              <w:r w:rsidRPr="00433CF5">
                <w:rPr>
                  <w:color w:val="0E47CB"/>
                  <w:sz w:val="20"/>
                  <w:szCs w:val="20"/>
                  <w:u w:val="single"/>
                  <w:shd w:val="clear" w:color="auto" w:fill="FFFFFF"/>
                </w:rPr>
                <w:t>http://data.europa.eu/eli/dec_framw/2002/584/oj</w:t>
              </w:r>
            </w:hyperlink>
          </w:p>
          <w:p w14:paraId="7A7C6BF6"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tc>
      </w:tr>
      <w:tr w:rsidR="00764AE9" w:rsidRPr="00433CF5" w14:paraId="581FEF55" w14:textId="77777777" w:rsidTr="0075442B">
        <w:trPr>
          <w:trHeight w:val="645"/>
          <w:jc w:val="center"/>
        </w:trPr>
        <w:tc>
          <w:tcPr>
            <w:tcW w:w="5379" w:type="dxa"/>
            <w:tcBorders>
              <w:top w:val="single" w:sz="4" w:space="0" w:color="auto"/>
              <w:left w:val="single" w:sz="4" w:space="0" w:color="auto"/>
            </w:tcBorders>
          </w:tcPr>
          <w:p w14:paraId="60626D25" w14:textId="16859345"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Directive </w:t>
            </w:r>
            <w:r w:rsidRPr="00433CF5">
              <w:rPr>
                <w:rFonts w:eastAsia="Times New Roman"/>
                <w:b/>
                <w:bCs/>
                <w:color w:val="000000"/>
                <w:sz w:val="20"/>
                <w:szCs w:val="20"/>
                <w:lang w:eastAsia="hr-HR" w:bidi="hr-HR"/>
              </w:rPr>
              <w:t xml:space="preserve">2004/80/EC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29 </w:t>
            </w:r>
            <w:r w:rsidRPr="00433CF5">
              <w:rPr>
                <w:rFonts w:eastAsia="Times New Roman"/>
                <w:color w:val="000000"/>
                <w:sz w:val="20"/>
                <w:szCs w:val="20"/>
                <w:lang w:eastAsia="hr-HR" w:bidi="hr-HR"/>
              </w:rPr>
              <w:t xml:space="preserve">April </w:t>
            </w:r>
            <w:r w:rsidRPr="00433CF5">
              <w:rPr>
                <w:rFonts w:eastAsia="Times New Roman"/>
                <w:color w:val="000000"/>
                <w:sz w:val="20"/>
                <w:szCs w:val="20"/>
                <w:lang w:eastAsia="bg-BG" w:bidi="bg-BG"/>
              </w:rPr>
              <w:t xml:space="preserve">2004 </w:t>
            </w:r>
            <w:r w:rsidRPr="00433CF5">
              <w:rPr>
                <w:rFonts w:eastAsia="Times New Roman"/>
                <w:color w:val="000000"/>
                <w:sz w:val="20"/>
                <w:szCs w:val="20"/>
                <w:lang w:eastAsia="hr-HR" w:bidi="hr-HR"/>
              </w:rPr>
              <w:t xml:space="preserve">relating to </w:t>
            </w:r>
            <w:r w:rsidRPr="00433CF5">
              <w:rPr>
                <w:rFonts w:eastAsia="Times New Roman"/>
                <w:b/>
                <w:bCs/>
                <w:color w:val="000000"/>
                <w:sz w:val="20"/>
                <w:szCs w:val="20"/>
                <w:lang w:eastAsia="hr-HR" w:bidi="hr-HR"/>
              </w:rPr>
              <w:t>compensation to crime victims</w:t>
            </w:r>
          </w:p>
        </w:tc>
        <w:tc>
          <w:tcPr>
            <w:tcW w:w="4682" w:type="dxa"/>
            <w:gridSpan w:val="2"/>
            <w:tcBorders>
              <w:top w:val="single" w:sz="4" w:space="0" w:color="auto"/>
              <w:left w:val="single" w:sz="4" w:space="0" w:color="auto"/>
              <w:right w:val="single" w:sz="4" w:space="0" w:color="auto"/>
            </w:tcBorders>
            <w:vAlign w:val="bottom"/>
          </w:tcPr>
          <w:p w14:paraId="1D6F7D9C"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261, 6.8.2004,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15-18</w:t>
            </w:r>
          </w:p>
          <w:p w14:paraId="59327E58"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16" w:tooltip="Gives access to this document through its ELI URI." w:history="1">
              <w:r w:rsidRPr="00433CF5">
                <w:rPr>
                  <w:color w:val="0E47CB"/>
                  <w:sz w:val="20"/>
                  <w:szCs w:val="20"/>
                  <w:u w:val="single"/>
                  <w:shd w:val="clear" w:color="auto" w:fill="FFFFFF"/>
                </w:rPr>
                <w:t>http://data.europa.eu/eli/dir/2004/80/oj</w:t>
              </w:r>
            </w:hyperlink>
          </w:p>
          <w:p w14:paraId="3B0208FF"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tc>
      </w:tr>
      <w:tr w:rsidR="00764AE9" w:rsidRPr="00433CF5" w14:paraId="1E8DBD8B" w14:textId="77777777" w:rsidTr="00764AE9">
        <w:trPr>
          <w:trHeight w:val="782"/>
          <w:jc w:val="center"/>
        </w:trPr>
        <w:tc>
          <w:tcPr>
            <w:tcW w:w="5379" w:type="dxa"/>
            <w:tcBorders>
              <w:top w:val="single" w:sz="4" w:space="0" w:color="auto"/>
              <w:left w:val="single" w:sz="4" w:space="0" w:color="auto"/>
            </w:tcBorders>
            <w:vAlign w:val="center"/>
          </w:tcPr>
          <w:p w14:paraId="19EED614" w14:textId="7F87638C"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Framework Decision </w:t>
            </w:r>
            <w:r w:rsidRPr="00433CF5">
              <w:rPr>
                <w:rFonts w:eastAsia="Times New Roman"/>
                <w:b/>
                <w:bCs/>
                <w:color w:val="000000"/>
                <w:sz w:val="20"/>
                <w:szCs w:val="20"/>
                <w:lang w:eastAsia="hr-HR" w:bidi="hr-HR"/>
              </w:rPr>
              <w:t xml:space="preserve">2005/214/JHA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24 </w:t>
            </w:r>
            <w:r w:rsidRPr="00433CF5">
              <w:rPr>
                <w:rFonts w:eastAsia="Times New Roman"/>
                <w:color w:val="000000"/>
                <w:sz w:val="20"/>
                <w:szCs w:val="20"/>
                <w:lang w:eastAsia="hr-HR" w:bidi="hr-HR"/>
              </w:rPr>
              <w:t xml:space="preserve">February </w:t>
            </w:r>
            <w:r w:rsidRPr="00433CF5">
              <w:rPr>
                <w:rFonts w:eastAsia="Times New Roman"/>
                <w:color w:val="000000"/>
                <w:sz w:val="20"/>
                <w:szCs w:val="20"/>
                <w:lang w:eastAsia="bg-BG" w:bidi="bg-BG"/>
              </w:rPr>
              <w:t xml:space="preserve">2005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application of the principle of mutual recognition to financial penalties</w:t>
            </w:r>
          </w:p>
        </w:tc>
        <w:tc>
          <w:tcPr>
            <w:tcW w:w="4682" w:type="dxa"/>
            <w:gridSpan w:val="2"/>
            <w:tcBorders>
              <w:top w:val="single" w:sz="4" w:space="0" w:color="auto"/>
              <w:left w:val="single" w:sz="4" w:space="0" w:color="auto"/>
              <w:right w:val="single" w:sz="4" w:space="0" w:color="auto"/>
            </w:tcBorders>
            <w:vAlign w:val="bottom"/>
          </w:tcPr>
          <w:p w14:paraId="0802F690"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76, 22.3.2005,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16-30</w:t>
            </w:r>
          </w:p>
          <w:p w14:paraId="7A976F17" w14:textId="74B999CC"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17" w:tooltip="Gives access to this document through its ELI URI." w:history="1">
              <w:r w:rsidRPr="00433CF5">
                <w:rPr>
                  <w:color w:val="0E47CB"/>
                  <w:sz w:val="20"/>
                  <w:szCs w:val="20"/>
                  <w:u w:val="single"/>
                  <w:shd w:val="clear" w:color="auto" w:fill="FFFFFF"/>
                </w:rPr>
                <w:t>http://data.europa.eu/eli/dec_framw/2005/214/oj</w:t>
              </w:r>
            </w:hyperlink>
          </w:p>
        </w:tc>
      </w:tr>
      <w:tr w:rsidR="00764AE9" w:rsidRPr="00433CF5" w14:paraId="596FA9B3" w14:textId="77777777" w:rsidTr="00764AE9">
        <w:trPr>
          <w:trHeight w:val="782"/>
          <w:jc w:val="center"/>
        </w:trPr>
        <w:tc>
          <w:tcPr>
            <w:tcW w:w="5379" w:type="dxa"/>
            <w:tcBorders>
              <w:top w:val="single" w:sz="4" w:space="0" w:color="auto"/>
              <w:left w:val="single" w:sz="4" w:space="0" w:color="auto"/>
            </w:tcBorders>
            <w:vAlign w:val="center"/>
          </w:tcPr>
          <w:p w14:paraId="33C212E6" w14:textId="5D333C29"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Framework Decision </w:t>
            </w:r>
            <w:r w:rsidRPr="00433CF5">
              <w:rPr>
                <w:rFonts w:eastAsia="Times New Roman"/>
                <w:b/>
                <w:bCs/>
                <w:color w:val="000000"/>
                <w:sz w:val="20"/>
                <w:szCs w:val="20"/>
                <w:lang w:eastAsia="hr-HR" w:bidi="hr-HR"/>
              </w:rPr>
              <w:t xml:space="preserve">2008/909/JHA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27 </w:t>
            </w:r>
            <w:r w:rsidRPr="00433CF5">
              <w:rPr>
                <w:rFonts w:eastAsia="Times New Roman"/>
                <w:color w:val="000000"/>
                <w:sz w:val="20"/>
                <w:szCs w:val="20"/>
                <w:lang w:eastAsia="hr-HR" w:bidi="hr-HR"/>
              </w:rPr>
              <w:t xml:space="preserve">November </w:t>
            </w:r>
            <w:r w:rsidRPr="00433CF5">
              <w:rPr>
                <w:rFonts w:eastAsia="Times New Roman"/>
                <w:color w:val="000000"/>
                <w:sz w:val="20"/>
                <w:szCs w:val="20"/>
                <w:lang w:eastAsia="bg-BG" w:bidi="bg-BG"/>
              </w:rPr>
              <w:t xml:space="preserve">2008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application of the principle of mutual recognition to judgments in criminal matters imposing custodial sentences or measures involving deprivation of liberty for the purpose of their enforcement in the European Union</w:t>
            </w:r>
          </w:p>
        </w:tc>
        <w:tc>
          <w:tcPr>
            <w:tcW w:w="4682" w:type="dxa"/>
            <w:gridSpan w:val="2"/>
            <w:tcBorders>
              <w:top w:val="single" w:sz="4" w:space="0" w:color="auto"/>
              <w:left w:val="single" w:sz="4" w:space="0" w:color="auto"/>
              <w:right w:val="single" w:sz="4" w:space="0" w:color="auto"/>
            </w:tcBorders>
            <w:vAlign w:val="bottom"/>
          </w:tcPr>
          <w:p w14:paraId="1197D693"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327, 5.12.2008,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27-46</w:t>
            </w:r>
          </w:p>
          <w:p w14:paraId="090F8B8A"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color w:val="333333"/>
                <w:sz w:val="20"/>
                <w:szCs w:val="20"/>
                <w:shd w:val="clear" w:color="auto" w:fill="FFFFFF"/>
              </w:rPr>
              <w:t>ELI: </w:t>
            </w:r>
            <w:hyperlink r:id="rId18" w:tooltip="Gives access to this document through its ELI URI." w:history="1">
              <w:r w:rsidRPr="00433CF5">
                <w:rPr>
                  <w:color w:val="0E47CB"/>
                  <w:sz w:val="20"/>
                  <w:szCs w:val="20"/>
                  <w:u w:val="single"/>
                  <w:shd w:val="clear" w:color="auto" w:fill="FFFFFF"/>
                </w:rPr>
                <w:t>http://data.europa.eu/eli/dec_framw/2008/909/oj</w:t>
              </w:r>
            </w:hyperlink>
          </w:p>
          <w:p w14:paraId="3468E136"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p w14:paraId="375BD7B9"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tc>
      </w:tr>
      <w:tr w:rsidR="00764AE9" w:rsidRPr="00433CF5" w14:paraId="3F9E72CA" w14:textId="77777777" w:rsidTr="00764AE9">
        <w:trPr>
          <w:trHeight w:val="782"/>
          <w:jc w:val="center"/>
        </w:trPr>
        <w:tc>
          <w:tcPr>
            <w:tcW w:w="5379" w:type="dxa"/>
            <w:tcBorders>
              <w:top w:val="single" w:sz="4" w:space="0" w:color="auto"/>
              <w:left w:val="single" w:sz="4" w:space="0" w:color="auto"/>
            </w:tcBorders>
            <w:vAlign w:val="center"/>
          </w:tcPr>
          <w:p w14:paraId="06AB89C1" w14:textId="3694914F"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Framework Decision </w:t>
            </w:r>
            <w:r w:rsidRPr="00433CF5">
              <w:rPr>
                <w:rFonts w:eastAsia="Times New Roman"/>
                <w:b/>
                <w:bCs/>
                <w:color w:val="000000"/>
                <w:sz w:val="20"/>
                <w:szCs w:val="20"/>
                <w:lang w:eastAsia="hr-HR" w:bidi="hr-HR"/>
              </w:rPr>
              <w:t xml:space="preserve">2008/947/JHA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27 </w:t>
            </w:r>
            <w:r w:rsidRPr="00433CF5">
              <w:rPr>
                <w:rFonts w:eastAsia="Times New Roman"/>
                <w:color w:val="000000"/>
                <w:sz w:val="20"/>
                <w:szCs w:val="20"/>
                <w:lang w:eastAsia="hr-HR" w:bidi="hr-HR"/>
              </w:rPr>
              <w:t xml:space="preserve">November </w:t>
            </w:r>
            <w:r w:rsidRPr="00433CF5">
              <w:rPr>
                <w:rFonts w:eastAsia="Times New Roman"/>
                <w:color w:val="000000"/>
                <w:sz w:val="20"/>
                <w:szCs w:val="20"/>
                <w:lang w:eastAsia="bg-BG" w:bidi="bg-BG"/>
              </w:rPr>
              <w:t>2008</w:t>
            </w:r>
            <w:r w:rsidRPr="00433CF5">
              <w:rPr>
                <w:rFonts w:eastAsia="Times New Roman"/>
                <w:color w:val="000000"/>
                <w:sz w:val="20"/>
                <w:szCs w:val="20"/>
                <w:lang w:eastAsia="bg-BG" w:bidi="bg-BG"/>
              </w:rPr>
              <w:tab/>
            </w:r>
            <w:r w:rsidRPr="00433CF5">
              <w:rPr>
                <w:rFonts w:eastAsia="Times New Roman"/>
                <w:color w:val="000000"/>
                <w:sz w:val="20"/>
                <w:szCs w:val="20"/>
                <w:lang w:eastAsia="hr-HR" w:bidi="hr-HR"/>
              </w:rPr>
              <w:t>on</w:t>
            </w:r>
            <w:r w:rsidRPr="00433CF5">
              <w:rPr>
                <w:rFonts w:eastAsia="Times New Roman"/>
                <w:color w:val="000000"/>
                <w:sz w:val="20"/>
                <w:szCs w:val="20"/>
                <w:lang w:eastAsia="hr-HR" w:bidi="hr-HR"/>
              </w:rPr>
              <w:tab/>
              <w:t>the</w:t>
            </w:r>
            <w:r w:rsidRPr="00433CF5">
              <w:rPr>
                <w:rFonts w:eastAsia="Times New Roman"/>
                <w:color w:val="000000"/>
                <w:sz w:val="20"/>
                <w:szCs w:val="20"/>
                <w:lang w:eastAsia="hr-HR" w:bidi="hr-HR"/>
              </w:rPr>
              <w:tab/>
            </w:r>
            <w:r w:rsidRPr="00433CF5">
              <w:rPr>
                <w:rFonts w:eastAsia="Times New Roman"/>
                <w:b/>
                <w:bCs/>
                <w:color w:val="000000"/>
                <w:sz w:val="20"/>
                <w:szCs w:val="20"/>
                <w:lang w:eastAsia="hr-HR" w:bidi="hr-HR"/>
              </w:rPr>
              <w:t>application</w:t>
            </w:r>
            <w:r w:rsidRPr="00433CF5">
              <w:rPr>
                <w:rFonts w:eastAsia="Times New Roman"/>
                <w:b/>
                <w:bCs/>
                <w:color w:val="000000"/>
                <w:sz w:val="20"/>
                <w:szCs w:val="20"/>
                <w:lang w:eastAsia="hr-HR" w:bidi="hr-HR"/>
              </w:rPr>
              <w:tab/>
              <w:t>of</w:t>
            </w:r>
            <w:r w:rsidRPr="00433CF5">
              <w:rPr>
                <w:rFonts w:eastAsia="Times New Roman"/>
                <w:b/>
                <w:bCs/>
                <w:color w:val="000000"/>
                <w:sz w:val="20"/>
                <w:szCs w:val="20"/>
                <w:lang w:eastAsia="hr-HR" w:bidi="hr-HR"/>
              </w:rPr>
              <w:tab/>
              <w:t>the principle of mutual</w:t>
            </w:r>
            <w:r w:rsidRPr="00433CF5">
              <w:rPr>
                <w:rFonts w:eastAsia="Times New Roman"/>
                <w:color w:val="000000"/>
                <w:sz w:val="20"/>
                <w:szCs w:val="20"/>
                <w:lang w:eastAsia="hr-HR" w:bidi="hr-HR"/>
              </w:rPr>
              <w:t xml:space="preserve"> </w:t>
            </w:r>
            <w:r w:rsidRPr="00433CF5">
              <w:rPr>
                <w:rFonts w:eastAsia="Times New Roman"/>
                <w:b/>
                <w:bCs/>
                <w:color w:val="000000"/>
                <w:sz w:val="20"/>
                <w:szCs w:val="20"/>
                <w:lang w:eastAsia="hr-HR" w:bidi="hr-HR"/>
              </w:rPr>
              <w:t>recognition to judgments and probation decisions with a view to</w:t>
            </w:r>
            <w:r w:rsidRPr="00433CF5">
              <w:rPr>
                <w:rFonts w:eastAsia="Times New Roman"/>
                <w:b/>
                <w:bCs/>
                <w:color w:val="000000"/>
                <w:sz w:val="20"/>
                <w:szCs w:val="20"/>
                <w:lang w:eastAsia="hr-HR" w:bidi="hr-HR"/>
              </w:rPr>
              <w:tab/>
              <w:t>the</w:t>
            </w:r>
            <w:r w:rsidRPr="00433CF5">
              <w:rPr>
                <w:rFonts w:eastAsia="Times New Roman"/>
                <w:b/>
                <w:bCs/>
                <w:color w:val="000000"/>
                <w:sz w:val="20"/>
                <w:szCs w:val="20"/>
                <w:lang w:eastAsia="hr-HR" w:bidi="hr-HR"/>
              </w:rPr>
              <w:tab/>
              <w:t>supervision</w:t>
            </w:r>
            <w:r w:rsidRPr="00433CF5">
              <w:rPr>
                <w:rFonts w:eastAsia="Times New Roman"/>
                <w:b/>
                <w:bCs/>
                <w:color w:val="000000"/>
                <w:sz w:val="20"/>
                <w:szCs w:val="20"/>
                <w:lang w:eastAsia="hr-HR" w:bidi="hr-HR"/>
              </w:rPr>
              <w:tab/>
              <w:t>of</w:t>
            </w:r>
            <w:r w:rsidRPr="00433CF5">
              <w:rPr>
                <w:rFonts w:eastAsia="Times New Roman"/>
                <w:b/>
                <w:bCs/>
                <w:color w:val="000000"/>
                <w:sz w:val="20"/>
                <w:szCs w:val="20"/>
                <w:lang w:eastAsia="hr-HR" w:bidi="hr-HR"/>
              </w:rPr>
              <w:tab/>
              <w:t>probation measures and alternative sanctions</w:t>
            </w:r>
          </w:p>
        </w:tc>
        <w:tc>
          <w:tcPr>
            <w:tcW w:w="4682" w:type="dxa"/>
            <w:gridSpan w:val="2"/>
            <w:tcBorders>
              <w:top w:val="single" w:sz="4" w:space="0" w:color="auto"/>
              <w:left w:val="single" w:sz="4" w:space="0" w:color="auto"/>
              <w:right w:val="single" w:sz="4" w:space="0" w:color="auto"/>
            </w:tcBorders>
            <w:vAlign w:val="bottom"/>
          </w:tcPr>
          <w:p w14:paraId="7C97627B"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337, 16.12.2008,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102-122</w:t>
            </w:r>
          </w:p>
          <w:p w14:paraId="56AA0045"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19" w:tooltip="Gives access to this document through its ELI URI." w:history="1">
              <w:r w:rsidRPr="00433CF5">
                <w:rPr>
                  <w:color w:val="0E47CB"/>
                  <w:sz w:val="20"/>
                  <w:szCs w:val="20"/>
                  <w:u w:val="single"/>
                  <w:shd w:val="clear" w:color="auto" w:fill="FFFFFF"/>
                </w:rPr>
                <w:t>http://data.europa.eu/eli/dec_framw/2008/947/oj</w:t>
              </w:r>
            </w:hyperlink>
          </w:p>
          <w:p w14:paraId="7DD06ACF"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tc>
      </w:tr>
      <w:tr w:rsidR="00764AE9" w:rsidRPr="00433CF5" w14:paraId="57B47C18" w14:textId="77777777" w:rsidTr="00764AE9">
        <w:trPr>
          <w:trHeight w:val="782"/>
          <w:jc w:val="center"/>
        </w:trPr>
        <w:tc>
          <w:tcPr>
            <w:tcW w:w="5379" w:type="dxa"/>
            <w:tcBorders>
              <w:top w:val="single" w:sz="4" w:space="0" w:color="auto"/>
              <w:left w:val="single" w:sz="4" w:space="0" w:color="auto"/>
            </w:tcBorders>
            <w:vAlign w:val="bottom"/>
          </w:tcPr>
          <w:p w14:paraId="35AB3B56" w14:textId="511C9F1E"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Framework Decision </w:t>
            </w:r>
            <w:r w:rsidRPr="00433CF5">
              <w:rPr>
                <w:rFonts w:eastAsia="Times New Roman"/>
                <w:b/>
                <w:bCs/>
                <w:color w:val="000000"/>
                <w:sz w:val="20"/>
                <w:szCs w:val="20"/>
                <w:lang w:eastAsia="hr-HR" w:bidi="hr-HR"/>
              </w:rPr>
              <w:t xml:space="preserve">2008/913/JHA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28 </w:t>
            </w:r>
            <w:r w:rsidRPr="00433CF5">
              <w:rPr>
                <w:rFonts w:eastAsia="Times New Roman"/>
                <w:color w:val="000000"/>
                <w:sz w:val="20"/>
                <w:szCs w:val="20"/>
                <w:lang w:eastAsia="hr-HR" w:bidi="hr-HR"/>
              </w:rPr>
              <w:t xml:space="preserve">November </w:t>
            </w:r>
            <w:r w:rsidRPr="00433CF5">
              <w:rPr>
                <w:rFonts w:eastAsia="Times New Roman"/>
                <w:color w:val="000000"/>
                <w:sz w:val="20"/>
                <w:szCs w:val="20"/>
                <w:lang w:eastAsia="bg-BG" w:bidi="bg-BG"/>
              </w:rPr>
              <w:t xml:space="preserve">2008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combating certain forms and expressions of racism and xenophobia by means of criminal law</w:t>
            </w:r>
          </w:p>
        </w:tc>
        <w:tc>
          <w:tcPr>
            <w:tcW w:w="4682" w:type="dxa"/>
            <w:gridSpan w:val="2"/>
            <w:tcBorders>
              <w:top w:val="single" w:sz="4" w:space="0" w:color="auto"/>
              <w:left w:val="single" w:sz="4" w:space="0" w:color="auto"/>
              <w:right w:val="single" w:sz="4" w:space="0" w:color="auto"/>
            </w:tcBorders>
            <w:vAlign w:val="center"/>
          </w:tcPr>
          <w:p w14:paraId="52112361"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328, 6.12.2008,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55-58</w:t>
            </w:r>
          </w:p>
          <w:p w14:paraId="76872623" w14:textId="77777777" w:rsidR="00764AE9" w:rsidRPr="00A559CF" w:rsidRDefault="00764AE9" w:rsidP="00764AE9">
            <w:pPr>
              <w:shd w:val="clear" w:color="auto" w:fill="FFFFFF"/>
              <w:spacing w:before="0" w:after="75"/>
              <w:jc w:val="center"/>
              <w:rPr>
                <w:rFonts w:eastAsia="Times New Roman"/>
                <w:color w:val="333333"/>
                <w:sz w:val="20"/>
                <w:szCs w:val="20"/>
                <w:lang w:val="en"/>
              </w:rPr>
            </w:pPr>
            <w:r w:rsidRPr="00A559CF">
              <w:rPr>
                <w:rFonts w:eastAsia="Times New Roman"/>
                <w:color w:val="333333"/>
                <w:sz w:val="20"/>
                <w:szCs w:val="20"/>
                <w:lang w:val="en"/>
              </w:rPr>
              <w:t>ELI: </w:t>
            </w:r>
            <w:hyperlink r:id="rId20" w:tooltip="Gives access to this document through its ELI URI." w:history="1">
              <w:r w:rsidRPr="00A559CF">
                <w:rPr>
                  <w:rFonts w:eastAsia="Times New Roman"/>
                  <w:color w:val="0E47CB"/>
                  <w:sz w:val="20"/>
                  <w:szCs w:val="20"/>
                  <w:u w:val="single"/>
                  <w:lang w:val="en"/>
                </w:rPr>
                <w:t>http://data.europa.eu/eli/dec_framw/2008/913/oj</w:t>
              </w:r>
            </w:hyperlink>
          </w:p>
          <w:p w14:paraId="051026FD"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tc>
      </w:tr>
      <w:tr w:rsidR="00764AE9" w:rsidRPr="007D66F5" w14:paraId="7A30E1E6" w14:textId="77777777" w:rsidTr="00764AE9">
        <w:trPr>
          <w:trHeight w:val="782"/>
          <w:jc w:val="center"/>
        </w:trPr>
        <w:tc>
          <w:tcPr>
            <w:tcW w:w="5379" w:type="dxa"/>
            <w:tcBorders>
              <w:top w:val="single" w:sz="4" w:space="0" w:color="auto"/>
              <w:left w:val="single" w:sz="4" w:space="0" w:color="auto"/>
            </w:tcBorders>
            <w:vAlign w:val="center"/>
          </w:tcPr>
          <w:p w14:paraId="449FAFBF" w14:textId="061ADB5C"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Framework Decision </w:t>
            </w:r>
            <w:r w:rsidRPr="00433CF5">
              <w:rPr>
                <w:rFonts w:eastAsia="Times New Roman"/>
                <w:b/>
                <w:bCs/>
                <w:color w:val="000000"/>
                <w:sz w:val="20"/>
                <w:szCs w:val="20"/>
                <w:lang w:eastAsia="hr-HR" w:bidi="hr-HR"/>
              </w:rPr>
              <w:t xml:space="preserve">2009/829/JHA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23 </w:t>
            </w:r>
            <w:r w:rsidRPr="00433CF5">
              <w:rPr>
                <w:rFonts w:eastAsia="Times New Roman"/>
                <w:color w:val="000000"/>
                <w:sz w:val="20"/>
                <w:szCs w:val="20"/>
                <w:lang w:eastAsia="hr-HR" w:bidi="hr-HR"/>
              </w:rPr>
              <w:t xml:space="preserve">October </w:t>
            </w:r>
            <w:r w:rsidRPr="00433CF5">
              <w:rPr>
                <w:rFonts w:eastAsia="Times New Roman"/>
                <w:color w:val="000000"/>
                <w:sz w:val="20"/>
                <w:szCs w:val="20"/>
                <w:lang w:eastAsia="bg-BG" w:bidi="bg-BG"/>
              </w:rPr>
              <w:t xml:space="preserve">2009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application, between Member States of the European Union, of the principle of mutual recognition to decisions on supervision measures as an alternative to provisional detention</w:t>
            </w:r>
          </w:p>
        </w:tc>
        <w:tc>
          <w:tcPr>
            <w:tcW w:w="4682" w:type="dxa"/>
            <w:gridSpan w:val="2"/>
            <w:tcBorders>
              <w:top w:val="single" w:sz="4" w:space="0" w:color="auto"/>
              <w:left w:val="single" w:sz="4" w:space="0" w:color="auto"/>
              <w:right w:val="single" w:sz="4" w:space="0" w:color="auto"/>
            </w:tcBorders>
            <w:vAlign w:val="bottom"/>
          </w:tcPr>
          <w:p w14:paraId="4F5E083A" w14:textId="77777777" w:rsidR="00764AE9" w:rsidRPr="008C49CF" w:rsidRDefault="00764AE9" w:rsidP="00764AE9">
            <w:pPr>
              <w:widowControl w:val="0"/>
              <w:shd w:val="clear" w:color="auto" w:fill="FFFFFF"/>
              <w:spacing w:before="0"/>
              <w:ind w:left="80"/>
              <w:jc w:val="center"/>
              <w:rPr>
                <w:rFonts w:eastAsia="Times New Roman"/>
                <w:color w:val="000000"/>
                <w:sz w:val="20"/>
                <w:szCs w:val="20"/>
                <w:lang w:val="de-DE" w:eastAsia="bg-BG" w:bidi="bg-BG"/>
              </w:rPr>
            </w:pPr>
            <w:r w:rsidRPr="008C49CF">
              <w:rPr>
                <w:rFonts w:eastAsia="Times New Roman"/>
                <w:color w:val="000000"/>
                <w:sz w:val="20"/>
                <w:szCs w:val="20"/>
                <w:lang w:val="de-DE" w:eastAsia="hr-HR" w:bidi="hr-HR"/>
              </w:rPr>
              <w:t xml:space="preserve">OJ L </w:t>
            </w:r>
            <w:r w:rsidRPr="008C49CF">
              <w:rPr>
                <w:rFonts w:eastAsia="Times New Roman"/>
                <w:color w:val="000000"/>
                <w:sz w:val="20"/>
                <w:szCs w:val="20"/>
                <w:lang w:val="de-DE" w:eastAsia="bg-BG" w:bidi="bg-BG"/>
              </w:rPr>
              <w:t>294, 11.11.2009</w:t>
            </w:r>
            <w:r w:rsidRPr="008C49CF">
              <w:rPr>
                <w:rStyle w:val="Emphasis"/>
                <w:color w:val="333333"/>
                <w:sz w:val="20"/>
                <w:szCs w:val="20"/>
                <w:shd w:val="clear" w:color="auto" w:fill="FFFFFF"/>
                <w:lang w:val="de-DE"/>
              </w:rPr>
              <w:t>, pp. 20–40</w:t>
            </w:r>
          </w:p>
          <w:p w14:paraId="656E6E90" w14:textId="77777777" w:rsidR="00764AE9" w:rsidRPr="008C49CF" w:rsidRDefault="00764AE9" w:rsidP="00764AE9">
            <w:pPr>
              <w:widowControl w:val="0"/>
              <w:shd w:val="clear" w:color="auto" w:fill="FFFFFF"/>
              <w:spacing w:before="0"/>
              <w:ind w:left="80"/>
              <w:jc w:val="center"/>
              <w:rPr>
                <w:rFonts w:eastAsia="Times New Roman"/>
                <w:color w:val="000000"/>
                <w:sz w:val="20"/>
                <w:szCs w:val="20"/>
                <w:lang w:val="de-DE" w:eastAsia="hr-HR" w:bidi="hr-HR"/>
              </w:rPr>
            </w:pPr>
            <w:r w:rsidRPr="008C49CF">
              <w:rPr>
                <w:color w:val="333333"/>
                <w:sz w:val="20"/>
                <w:szCs w:val="20"/>
                <w:shd w:val="clear" w:color="auto" w:fill="FFFFFF"/>
                <w:lang w:val="de-DE"/>
              </w:rPr>
              <w:t>ELI: </w:t>
            </w:r>
            <w:hyperlink r:id="rId21" w:tooltip="Gives access to this document through its ELI URI." w:history="1">
              <w:r w:rsidRPr="008C49CF">
                <w:rPr>
                  <w:color w:val="0E47CB"/>
                  <w:sz w:val="20"/>
                  <w:szCs w:val="20"/>
                  <w:u w:val="single"/>
                  <w:shd w:val="clear" w:color="auto" w:fill="FFFFFF"/>
                  <w:lang w:val="de-DE"/>
                </w:rPr>
                <w:t>http://data.europa.eu/eli/dec_framw/2009/829/oj</w:t>
              </w:r>
            </w:hyperlink>
          </w:p>
          <w:p w14:paraId="3D261CEF" w14:textId="77777777" w:rsidR="00764AE9" w:rsidRPr="00764AE9" w:rsidRDefault="00764AE9" w:rsidP="00764AE9">
            <w:pPr>
              <w:widowControl w:val="0"/>
              <w:shd w:val="clear" w:color="auto" w:fill="FFFFFF"/>
              <w:spacing w:before="0"/>
              <w:ind w:left="80"/>
              <w:jc w:val="center"/>
              <w:rPr>
                <w:rFonts w:eastAsia="Times New Roman"/>
                <w:color w:val="000000"/>
                <w:sz w:val="20"/>
                <w:szCs w:val="20"/>
                <w:lang w:val="de-DE" w:eastAsia="hr-HR" w:bidi="hr-HR"/>
              </w:rPr>
            </w:pPr>
          </w:p>
        </w:tc>
      </w:tr>
      <w:tr w:rsidR="00764AE9" w:rsidRPr="00433CF5" w14:paraId="2BA2D6D1" w14:textId="77777777" w:rsidTr="00764AE9">
        <w:trPr>
          <w:trHeight w:val="830"/>
          <w:jc w:val="center"/>
        </w:trPr>
        <w:tc>
          <w:tcPr>
            <w:tcW w:w="5379" w:type="dxa"/>
            <w:tcBorders>
              <w:top w:val="single" w:sz="4" w:space="0" w:color="auto"/>
              <w:left w:val="single" w:sz="4" w:space="0" w:color="auto"/>
              <w:bottom w:val="single" w:sz="4" w:space="0" w:color="auto"/>
            </w:tcBorders>
            <w:vAlign w:val="center"/>
          </w:tcPr>
          <w:p w14:paraId="14C79F11" w14:textId="77777777"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w:t>
            </w:r>
            <w:r w:rsidRPr="00433CF5">
              <w:rPr>
                <w:rFonts w:eastAsia="Times New Roman"/>
                <w:b/>
                <w:bCs/>
                <w:color w:val="000000"/>
                <w:sz w:val="20"/>
                <w:szCs w:val="20"/>
                <w:lang w:eastAsia="hr-HR" w:bidi="hr-HR"/>
              </w:rPr>
              <w:t xml:space="preserve">2010/64/EU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20 </w:t>
            </w:r>
            <w:r w:rsidRPr="00433CF5">
              <w:rPr>
                <w:rFonts w:eastAsia="Times New Roman"/>
                <w:color w:val="000000"/>
                <w:sz w:val="20"/>
                <w:szCs w:val="20"/>
                <w:lang w:eastAsia="hr-HR" w:bidi="hr-HR"/>
              </w:rPr>
              <w:t xml:space="preserve">October </w:t>
            </w:r>
            <w:r w:rsidRPr="00433CF5">
              <w:rPr>
                <w:rFonts w:eastAsia="Times New Roman"/>
                <w:color w:val="000000"/>
                <w:sz w:val="20"/>
                <w:szCs w:val="20"/>
                <w:lang w:eastAsia="bg-BG" w:bidi="bg-BG"/>
              </w:rPr>
              <w:t xml:space="preserve">2010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right to interpretation and translation in criminal proceedings</w:t>
            </w:r>
          </w:p>
        </w:tc>
        <w:tc>
          <w:tcPr>
            <w:tcW w:w="4682" w:type="dxa"/>
            <w:gridSpan w:val="2"/>
            <w:tcBorders>
              <w:top w:val="single" w:sz="4" w:space="0" w:color="auto"/>
              <w:left w:val="single" w:sz="4" w:space="0" w:color="auto"/>
              <w:right w:val="single" w:sz="4" w:space="0" w:color="auto"/>
            </w:tcBorders>
            <w:vAlign w:val="bottom"/>
          </w:tcPr>
          <w:p w14:paraId="492E1C80"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280, 26.10.2010, </w:t>
            </w:r>
            <w:r w:rsidRPr="00433CF5">
              <w:rPr>
                <w:rFonts w:eastAsia="Times New Roman"/>
                <w:color w:val="000000"/>
                <w:sz w:val="20"/>
                <w:szCs w:val="20"/>
                <w:lang w:eastAsia="hr-HR" w:bidi="hr-HR"/>
              </w:rPr>
              <w:t>p. 1-7</w:t>
            </w:r>
          </w:p>
          <w:p w14:paraId="090845BA"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22" w:tooltip="Gives access to this document through its ELI URI." w:history="1">
              <w:r w:rsidRPr="00433CF5">
                <w:rPr>
                  <w:color w:val="0E47CB"/>
                  <w:sz w:val="20"/>
                  <w:szCs w:val="20"/>
                  <w:u w:val="single"/>
                  <w:shd w:val="clear" w:color="auto" w:fill="FFFFFF"/>
                </w:rPr>
                <w:t>http://data.europa.eu/eli/dir/2010/64/oj</w:t>
              </w:r>
            </w:hyperlink>
          </w:p>
          <w:p w14:paraId="1D67A147"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580A76D1" w14:textId="77777777" w:rsidTr="00764AE9">
        <w:trPr>
          <w:trHeight w:val="782"/>
          <w:jc w:val="center"/>
        </w:trPr>
        <w:tc>
          <w:tcPr>
            <w:tcW w:w="5379" w:type="dxa"/>
            <w:tcBorders>
              <w:top w:val="single" w:sz="4" w:space="0" w:color="auto"/>
              <w:left w:val="single" w:sz="4" w:space="0" w:color="auto"/>
            </w:tcBorders>
            <w:vAlign w:val="center"/>
          </w:tcPr>
          <w:p w14:paraId="487A87DB" w14:textId="77777777"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w:t>
            </w:r>
            <w:r w:rsidRPr="00433CF5">
              <w:rPr>
                <w:rFonts w:eastAsia="Times New Roman"/>
                <w:b/>
                <w:bCs/>
                <w:color w:val="000000"/>
                <w:sz w:val="20"/>
                <w:szCs w:val="20"/>
                <w:lang w:eastAsia="hr-HR" w:bidi="hr-HR"/>
              </w:rPr>
              <w:t xml:space="preserve">2011/99/EU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13 </w:t>
            </w:r>
            <w:r w:rsidRPr="00433CF5">
              <w:rPr>
                <w:rFonts w:eastAsia="Times New Roman"/>
                <w:color w:val="000000"/>
                <w:sz w:val="20"/>
                <w:szCs w:val="20"/>
                <w:lang w:eastAsia="hr-HR" w:bidi="hr-HR"/>
              </w:rPr>
              <w:t xml:space="preserve">December </w:t>
            </w:r>
            <w:r w:rsidRPr="00433CF5">
              <w:rPr>
                <w:rFonts w:eastAsia="Times New Roman"/>
                <w:color w:val="000000"/>
                <w:sz w:val="20"/>
                <w:szCs w:val="20"/>
                <w:lang w:eastAsia="bg-BG" w:bidi="bg-BG"/>
              </w:rPr>
              <w:t xml:space="preserve">2011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European protection order (in criminal matters)</w:t>
            </w:r>
          </w:p>
        </w:tc>
        <w:tc>
          <w:tcPr>
            <w:tcW w:w="4682" w:type="dxa"/>
            <w:gridSpan w:val="2"/>
            <w:tcBorders>
              <w:top w:val="single" w:sz="4" w:space="0" w:color="auto"/>
              <w:left w:val="single" w:sz="4" w:space="0" w:color="auto"/>
              <w:right w:val="single" w:sz="4" w:space="0" w:color="auto"/>
            </w:tcBorders>
            <w:vAlign w:val="bottom"/>
          </w:tcPr>
          <w:p w14:paraId="1FBAB6C6"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338, 21.12.2011,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2-18</w:t>
            </w:r>
          </w:p>
          <w:p w14:paraId="59029814"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color w:val="333333"/>
                <w:sz w:val="20"/>
                <w:szCs w:val="20"/>
                <w:shd w:val="clear" w:color="auto" w:fill="FFFFFF"/>
              </w:rPr>
              <w:t>ELI: </w:t>
            </w:r>
            <w:hyperlink r:id="rId23" w:tooltip="Gives access to this document through its ELI URI." w:history="1">
              <w:r w:rsidRPr="00433CF5">
                <w:rPr>
                  <w:color w:val="0E47CB"/>
                  <w:sz w:val="20"/>
                  <w:szCs w:val="20"/>
                  <w:u w:val="single"/>
                  <w:shd w:val="clear" w:color="auto" w:fill="FFFFFF"/>
                </w:rPr>
                <w:t>http://data.europa.eu/eli/dir/2011/99/oj</w:t>
              </w:r>
            </w:hyperlink>
          </w:p>
          <w:p w14:paraId="5391226A"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p>
          <w:p w14:paraId="01E20C9C"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14A9AFAB" w14:textId="77777777" w:rsidTr="00764AE9">
        <w:trPr>
          <w:trHeight w:val="830"/>
          <w:jc w:val="center"/>
        </w:trPr>
        <w:tc>
          <w:tcPr>
            <w:tcW w:w="5379" w:type="dxa"/>
            <w:tcBorders>
              <w:top w:val="single" w:sz="4" w:space="0" w:color="auto"/>
              <w:left w:val="single" w:sz="4" w:space="0" w:color="auto"/>
              <w:bottom w:val="single" w:sz="4" w:space="0" w:color="auto"/>
            </w:tcBorders>
            <w:vAlign w:val="center"/>
          </w:tcPr>
          <w:p w14:paraId="01749768" w14:textId="77777777"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w:t>
            </w:r>
            <w:r w:rsidRPr="00433CF5">
              <w:rPr>
                <w:rFonts w:eastAsia="Times New Roman"/>
                <w:b/>
                <w:bCs/>
                <w:color w:val="000000"/>
                <w:sz w:val="20"/>
                <w:szCs w:val="20"/>
                <w:lang w:eastAsia="hr-HR" w:bidi="hr-HR"/>
              </w:rPr>
              <w:t xml:space="preserve">2012/13/EU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22 </w:t>
            </w:r>
            <w:r w:rsidRPr="00433CF5">
              <w:rPr>
                <w:rFonts w:eastAsia="Times New Roman"/>
                <w:color w:val="000000"/>
                <w:sz w:val="20"/>
                <w:szCs w:val="20"/>
                <w:lang w:eastAsia="hr-HR" w:bidi="hr-HR"/>
              </w:rPr>
              <w:t xml:space="preserve">May </w:t>
            </w:r>
            <w:r w:rsidRPr="00433CF5">
              <w:rPr>
                <w:rFonts w:eastAsia="Times New Roman"/>
                <w:color w:val="000000"/>
                <w:sz w:val="20"/>
                <w:szCs w:val="20"/>
                <w:lang w:eastAsia="bg-BG" w:bidi="bg-BG"/>
              </w:rPr>
              <w:t xml:space="preserve">2012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right to information in criminal proceedings</w:t>
            </w:r>
          </w:p>
        </w:tc>
        <w:tc>
          <w:tcPr>
            <w:tcW w:w="4682" w:type="dxa"/>
            <w:gridSpan w:val="2"/>
            <w:tcBorders>
              <w:top w:val="single" w:sz="4" w:space="0" w:color="auto"/>
              <w:left w:val="single" w:sz="4" w:space="0" w:color="auto"/>
              <w:right w:val="single" w:sz="4" w:space="0" w:color="auto"/>
            </w:tcBorders>
            <w:vAlign w:val="bottom"/>
          </w:tcPr>
          <w:p w14:paraId="70E11F62"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142, 1.6.2012, </w:t>
            </w:r>
            <w:r w:rsidRPr="00433CF5">
              <w:rPr>
                <w:rFonts w:eastAsia="Times New Roman"/>
                <w:color w:val="000000"/>
                <w:sz w:val="20"/>
                <w:szCs w:val="20"/>
                <w:lang w:eastAsia="hr-HR" w:bidi="hr-HR"/>
              </w:rPr>
              <w:t>p. 1-10</w:t>
            </w:r>
          </w:p>
          <w:p w14:paraId="077DF20F"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24" w:tooltip="Gives access to this document through its ELI URI." w:history="1">
              <w:r w:rsidRPr="00433CF5">
                <w:rPr>
                  <w:color w:val="0E47CB"/>
                  <w:sz w:val="20"/>
                  <w:szCs w:val="20"/>
                  <w:u w:val="single"/>
                  <w:shd w:val="clear" w:color="auto" w:fill="FFFFFF"/>
                </w:rPr>
                <w:t>http://data.europa.eu/eli/dir/2012/13/oj</w:t>
              </w:r>
            </w:hyperlink>
          </w:p>
          <w:p w14:paraId="05BBE76B"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44853037" w14:textId="77777777" w:rsidTr="0075442B">
        <w:trPr>
          <w:trHeight w:val="988"/>
          <w:jc w:val="center"/>
        </w:trPr>
        <w:tc>
          <w:tcPr>
            <w:tcW w:w="5379" w:type="dxa"/>
            <w:tcBorders>
              <w:top w:val="single" w:sz="4" w:space="0" w:color="auto"/>
              <w:left w:val="single" w:sz="4" w:space="0" w:color="auto"/>
              <w:bottom w:val="single" w:sz="4" w:space="0" w:color="auto"/>
            </w:tcBorders>
            <w:vAlign w:val="center"/>
          </w:tcPr>
          <w:p w14:paraId="1728BEF5" w14:textId="77777777"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w:t>
            </w:r>
            <w:r w:rsidRPr="00433CF5">
              <w:rPr>
                <w:rFonts w:eastAsia="Times New Roman"/>
                <w:b/>
                <w:bCs/>
                <w:color w:val="000000"/>
                <w:sz w:val="20"/>
                <w:szCs w:val="20"/>
                <w:lang w:eastAsia="hr-HR" w:bidi="hr-HR"/>
              </w:rPr>
              <w:t xml:space="preserve">2012/29/EU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25 </w:t>
            </w:r>
            <w:r w:rsidRPr="00433CF5">
              <w:rPr>
                <w:rFonts w:eastAsia="Times New Roman"/>
                <w:color w:val="000000"/>
                <w:sz w:val="20"/>
                <w:szCs w:val="20"/>
                <w:lang w:eastAsia="hr-HR" w:bidi="hr-HR"/>
              </w:rPr>
              <w:t xml:space="preserve">October </w:t>
            </w:r>
            <w:r w:rsidRPr="00433CF5">
              <w:rPr>
                <w:rFonts w:eastAsia="Times New Roman"/>
                <w:color w:val="000000"/>
                <w:sz w:val="20"/>
                <w:szCs w:val="20"/>
                <w:lang w:eastAsia="bg-BG" w:bidi="bg-BG"/>
              </w:rPr>
              <w:t xml:space="preserve">2012 </w:t>
            </w:r>
            <w:r w:rsidRPr="00433CF5">
              <w:rPr>
                <w:rFonts w:eastAsia="Times New Roman"/>
                <w:color w:val="000000"/>
                <w:sz w:val="20"/>
                <w:szCs w:val="20"/>
                <w:lang w:eastAsia="hr-HR" w:bidi="hr-HR"/>
              </w:rPr>
              <w:t xml:space="preserve">establishing </w:t>
            </w:r>
            <w:r w:rsidRPr="00433CF5">
              <w:rPr>
                <w:rFonts w:eastAsia="Times New Roman"/>
                <w:b/>
                <w:bCs/>
                <w:color w:val="000000"/>
                <w:sz w:val="20"/>
                <w:szCs w:val="20"/>
                <w:lang w:eastAsia="hr-HR" w:bidi="hr-HR"/>
              </w:rPr>
              <w:t>minimum standards on the rights, support and protection of victims of crime</w:t>
            </w:r>
            <w:r w:rsidRPr="00433CF5">
              <w:rPr>
                <w:rFonts w:eastAsia="Times New Roman"/>
                <w:color w:val="000000"/>
                <w:sz w:val="20"/>
                <w:szCs w:val="20"/>
                <w:lang w:eastAsia="hr-HR" w:bidi="hr-HR"/>
              </w:rPr>
              <w:t>, and replacing Council Framework Decision 2001/220/JHA</w:t>
            </w:r>
          </w:p>
        </w:tc>
        <w:tc>
          <w:tcPr>
            <w:tcW w:w="4682" w:type="dxa"/>
            <w:gridSpan w:val="2"/>
            <w:tcBorders>
              <w:top w:val="single" w:sz="4" w:space="0" w:color="auto"/>
              <w:left w:val="single" w:sz="4" w:space="0" w:color="auto"/>
              <w:bottom w:val="single" w:sz="4" w:space="0" w:color="auto"/>
              <w:right w:val="single" w:sz="4" w:space="0" w:color="auto"/>
            </w:tcBorders>
            <w:vAlign w:val="bottom"/>
          </w:tcPr>
          <w:p w14:paraId="11328BE8"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315, 14.11.2012,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57-73</w:t>
            </w:r>
          </w:p>
          <w:p w14:paraId="5B2E0105"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25" w:tooltip="Gives access to this document through its ELI URI." w:history="1">
              <w:r w:rsidRPr="00433CF5">
                <w:rPr>
                  <w:color w:val="0E47CB"/>
                  <w:sz w:val="20"/>
                  <w:szCs w:val="20"/>
                  <w:u w:val="single"/>
                  <w:shd w:val="clear" w:color="auto" w:fill="FFFFFF"/>
                </w:rPr>
                <w:t>http://data.europa.eu/eli/dir/2012/29/oj</w:t>
              </w:r>
            </w:hyperlink>
          </w:p>
          <w:p w14:paraId="0EEA106F"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32953026" w14:textId="77777777" w:rsidTr="0075442B">
        <w:trPr>
          <w:trHeight w:val="938"/>
          <w:jc w:val="center"/>
        </w:trPr>
        <w:tc>
          <w:tcPr>
            <w:tcW w:w="5385" w:type="dxa"/>
            <w:gridSpan w:val="2"/>
            <w:tcBorders>
              <w:top w:val="single" w:sz="4" w:space="0" w:color="auto"/>
              <w:left w:val="single" w:sz="4" w:space="0" w:color="auto"/>
              <w:bottom w:val="single" w:sz="4" w:space="0" w:color="auto"/>
            </w:tcBorders>
            <w:vAlign w:val="center"/>
          </w:tcPr>
          <w:p w14:paraId="5A82FE03" w14:textId="6A29D4F7" w:rsidR="00764AE9" w:rsidRPr="0075442B"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75442B">
              <w:rPr>
                <w:rFonts w:eastAsia="Times New Roman"/>
                <w:color w:val="000000"/>
                <w:sz w:val="20"/>
                <w:szCs w:val="20"/>
                <w:lang w:eastAsia="hr-HR" w:bidi="hr-HR"/>
              </w:rPr>
              <w:t>Regulation (EU) No </w:t>
            </w:r>
            <w:r w:rsidRPr="0075442B">
              <w:rPr>
                <w:rFonts w:eastAsia="Times New Roman"/>
                <w:b/>
                <w:bCs/>
                <w:color w:val="000000"/>
                <w:sz w:val="20"/>
                <w:szCs w:val="20"/>
                <w:lang w:eastAsia="bg-BG" w:bidi="bg-BG"/>
              </w:rPr>
              <w:t xml:space="preserve">606/2013 </w:t>
            </w:r>
            <w:r w:rsidRPr="0075442B">
              <w:rPr>
                <w:rFonts w:eastAsia="Times New Roman"/>
                <w:color w:val="000000"/>
                <w:sz w:val="20"/>
                <w:szCs w:val="20"/>
                <w:lang w:eastAsia="hr-HR" w:bidi="hr-HR"/>
              </w:rPr>
              <w:t xml:space="preserve">of the European Parliament and of the Council of </w:t>
            </w:r>
            <w:r w:rsidRPr="0075442B">
              <w:rPr>
                <w:rFonts w:eastAsia="Times New Roman"/>
                <w:color w:val="000000"/>
                <w:sz w:val="20"/>
                <w:szCs w:val="20"/>
                <w:lang w:eastAsia="bg-BG" w:bidi="bg-BG"/>
              </w:rPr>
              <w:t>12 </w:t>
            </w:r>
            <w:r w:rsidRPr="0075442B">
              <w:rPr>
                <w:rFonts w:eastAsia="Times New Roman"/>
                <w:color w:val="000000"/>
                <w:sz w:val="20"/>
                <w:szCs w:val="20"/>
                <w:lang w:eastAsia="hr-HR" w:bidi="hr-HR"/>
              </w:rPr>
              <w:t xml:space="preserve">June </w:t>
            </w:r>
            <w:r w:rsidRPr="0075442B">
              <w:rPr>
                <w:rFonts w:eastAsia="Times New Roman"/>
                <w:color w:val="000000"/>
                <w:sz w:val="20"/>
                <w:szCs w:val="20"/>
                <w:lang w:eastAsia="bg-BG" w:bidi="bg-BG"/>
              </w:rPr>
              <w:t xml:space="preserve">2013 </w:t>
            </w:r>
            <w:r w:rsidRPr="0075442B">
              <w:rPr>
                <w:rFonts w:eastAsia="Times New Roman"/>
                <w:color w:val="000000"/>
                <w:sz w:val="20"/>
                <w:szCs w:val="20"/>
                <w:lang w:eastAsia="hr-HR" w:bidi="hr-HR"/>
              </w:rPr>
              <w:t xml:space="preserve">on </w:t>
            </w:r>
            <w:r w:rsidRPr="0075442B">
              <w:rPr>
                <w:rFonts w:eastAsia="Times New Roman"/>
                <w:b/>
                <w:bCs/>
                <w:color w:val="000000"/>
                <w:sz w:val="20"/>
                <w:szCs w:val="20"/>
                <w:lang w:eastAsia="hr-HR" w:bidi="hr-HR"/>
              </w:rPr>
              <w:t>mutual recognition of protection measures in civil matters</w:t>
            </w:r>
          </w:p>
        </w:tc>
        <w:tc>
          <w:tcPr>
            <w:tcW w:w="4676" w:type="dxa"/>
            <w:tcBorders>
              <w:top w:val="single" w:sz="4" w:space="0" w:color="auto"/>
              <w:left w:val="single" w:sz="4" w:space="0" w:color="auto"/>
              <w:bottom w:val="single" w:sz="4" w:space="0" w:color="auto"/>
              <w:right w:val="single" w:sz="4" w:space="0" w:color="auto"/>
            </w:tcBorders>
            <w:vAlign w:val="bottom"/>
          </w:tcPr>
          <w:p w14:paraId="1F9924F0" w14:textId="77777777" w:rsidR="00764AE9" w:rsidRPr="0075442B"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75442B">
              <w:rPr>
                <w:rFonts w:eastAsia="Times New Roman"/>
                <w:color w:val="000000"/>
                <w:sz w:val="20"/>
                <w:szCs w:val="20"/>
                <w:lang w:eastAsia="hr-HR" w:bidi="hr-HR"/>
              </w:rPr>
              <w:t>OJ L181.29.6.2013, p. </w:t>
            </w:r>
            <w:r w:rsidRPr="0075442B">
              <w:rPr>
                <w:rFonts w:eastAsia="Times New Roman"/>
                <w:color w:val="000000"/>
                <w:sz w:val="20"/>
                <w:szCs w:val="20"/>
                <w:lang w:eastAsia="bg-BG" w:bidi="bg-BG"/>
              </w:rPr>
              <w:t>4-12</w:t>
            </w:r>
          </w:p>
          <w:p w14:paraId="6E579FAA" w14:textId="512ADE0F" w:rsidR="00764AE9" w:rsidRPr="0075442B"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75442B">
              <w:rPr>
                <w:color w:val="333333"/>
                <w:sz w:val="20"/>
                <w:szCs w:val="20"/>
                <w:shd w:val="clear" w:color="auto" w:fill="FFFFFF"/>
              </w:rPr>
              <w:t>ELI: </w:t>
            </w:r>
            <w:hyperlink r:id="rId26" w:tooltip="Gives access to this document through its ELI URI." w:history="1">
              <w:r w:rsidRPr="0075442B">
                <w:rPr>
                  <w:color w:val="0E47CB"/>
                  <w:sz w:val="20"/>
                  <w:szCs w:val="20"/>
                  <w:u w:val="single"/>
                  <w:shd w:val="clear" w:color="auto" w:fill="FFFFFF"/>
                </w:rPr>
                <w:t>http://data.europa.eu/eli/reg/2013/606/oj</w:t>
              </w:r>
            </w:hyperlink>
          </w:p>
        </w:tc>
      </w:tr>
      <w:tr w:rsidR="00764AE9" w:rsidRPr="00433CF5" w14:paraId="0B5A00EF" w14:textId="77777777" w:rsidTr="0075442B">
        <w:trPr>
          <w:trHeight w:val="1549"/>
          <w:jc w:val="center"/>
        </w:trPr>
        <w:tc>
          <w:tcPr>
            <w:tcW w:w="5379" w:type="dxa"/>
            <w:tcBorders>
              <w:top w:val="single" w:sz="4" w:space="0" w:color="auto"/>
              <w:left w:val="single" w:sz="4" w:space="0" w:color="auto"/>
              <w:bottom w:val="single" w:sz="4" w:space="0" w:color="auto"/>
            </w:tcBorders>
            <w:vAlign w:val="center"/>
          </w:tcPr>
          <w:p w14:paraId="29A981B3" w14:textId="77777777"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lastRenderedPageBreak/>
              <w:t xml:space="preserve">Directive </w:t>
            </w:r>
            <w:r w:rsidRPr="00433CF5">
              <w:rPr>
                <w:rFonts w:eastAsia="Times New Roman"/>
                <w:b/>
                <w:bCs/>
                <w:color w:val="000000"/>
                <w:sz w:val="20"/>
                <w:szCs w:val="20"/>
                <w:lang w:eastAsia="hr-HR" w:bidi="hr-HR"/>
              </w:rPr>
              <w:t xml:space="preserve">2013/48/EU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22 </w:t>
            </w:r>
            <w:r w:rsidRPr="00433CF5">
              <w:rPr>
                <w:rFonts w:eastAsia="Times New Roman"/>
                <w:color w:val="000000"/>
                <w:sz w:val="20"/>
                <w:szCs w:val="20"/>
                <w:lang w:eastAsia="hr-HR" w:bidi="hr-HR"/>
              </w:rPr>
              <w:t xml:space="preserve">October </w:t>
            </w:r>
            <w:r w:rsidRPr="00433CF5">
              <w:rPr>
                <w:rFonts w:eastAsia="Times New Roman"/>
                <w:color w:val="000000"/>
                <w:sz w:val="20"/>
                <w:szCs w:val="20"/>
                <w:lang w:eastAsia="bg-BG" w:bidi="bg-BG"/>
              </w:rPr>
              <w:t xml:space="preserve">2013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right of access to a lawyer in criminal proceedings and in European arrest warrant proceedings, and on the right to have a third party informed upon deprivation of liberty and to communicate with third persons and with consular authorities while deprived of liberty</w:t>
            </w:r>
          </w:p>
        </w:tc>
        <w:tc>
          <w:tcPr>
            <w:tcW w:w="4682" w:type="dxa"/>
            <w:gridSpan w:val="2"/>
            <w:tcBorders>
              <w:top w:val="single" w:sz="4" w:space="0" w:color="auto"/>
              <w:left w:val="single" w:sz="4" w:space="0" w:color="auto"/>
              <w:right w:val="single" w:sz="4" w:space="0" w:color="auto"/>
            </w:tcBorders>
            <w:vAlign w:val="bottom"/>
          </w:tcPr>
          <w:p w14:paraId="66E1666C" w14:textId="77777777" w:rsidR="00764AE9" w:rsidRPr="00433CF5" w:rsidRDefault="00764AE9" w:rsidP="00764AE9">
            <w:pPr>
              <w:widowControl w:val="0"/>
              <w:shd w:val="clear" w:color="auto" w:fill="FFFFFF"/>
              <w:spacing w:before="0" w:after="10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294, 6.11.2013, </w:t>
            </w:r>
            <w:r w:rsidRPr="00433CF5">
              <w:rPr>
                <w:rFonts w:eastAsia="Times New Roman"/>
                <w:color w:val="000000"/>
                <w:sz w:val="20"/>
                <w:szCs w:val="20"/>
                <w:lang w:eastAsia="hr-HR" w:bidi="hr-HR"/>
              </w:rPr>
              <w:t>p. 1-12</w:t>
            </w:r>
          </w:p>
          <w:p w14:paraId="7023387D" w14:textId="77777777" w:rsidR="00764AE9" w:rsidRPr="00433CF5" w:rsidRDefault="00764AE9" w:rsidP="00764AE9">
            <w:pPr>
              <w:widowControl w:val="0"/>
              <w:shd w:val="clear" w:color="auto" w:fill="FFFFFF"/>
              <w:spacing w:before="0" w:after="100"/>
              <w:jc w:val="center"/>
              <w:rPr>
                <w:rFonts w:eastAsia="Times New Roman"/>
                <w:color w:val="000000"/>
                <w:sz w:val="20"/>
                <w:szCs w:val="20"/>
                <w:lang w:eastAsia="hr-HR" w:bidi="hr-HR"/>
              </w:rPr>
            </w:pPr>
            <w:r w:rsidRPr="00433CF5">
              <w:rPr>
                <w:color w:val="333333"/>
                <w:sz w:val="20"/>
                <w:szCs w:val="20"/>
                <w:shd w:val="clear" w:color="auto" w:fill="FFFFFF"/>
              </w:rPr>
              <w:t>ELI: </w:t>
            </w:r>
            <w:hyperlink r:id="rId27" w:tooltip="Gives access to this document through its ELI URI." w:history="1">
              <w:r w:rsidRPr="00433CF5">
                <w:rPr>
                  <w:color w:val="0E47CB"/>
                  <w:sz w:val="20"/>
                  <w:szCs w:val="20"/>
                  <w:u w:val="single"/>
                  <w:shd w:val="clear" w:color="auto" w:fill="FFFFFF"/>
                </w:rPr>
                <w:t>http://data.europa.eu/eli/dir/2013/48/oj</w:t>
              </w:r>
            </w:hyperlink>
          </w:p>
          <w:p w14:paraId="123B0BE6" w14:textId="77777777" w:rsidR="00764AE9" w:rsidRPr="00433CF5" w:rsidRDefault="00764AE9" w:rsidP="00764AE9">
            <w:pPr>
              <w:widowControl w:val="0"/>
              <w:shd w:val="clear" w:color="auto" w:fill="FFFFFF"/>
              <w:spacing w:before="0" w:after="100"/>
              <w:jc w:val="center"/>
              <w:rPr>
                <w:rFonts w:eastAsia="Times New Roman"/>
                <w:color w:val="000000"/>
                <w:sz w:val="20"/>
                <w:szCs w:val="20"/>
                <w:lang w:eastAsia="hr-HR" w:bidi="hr-HR"/>
              </w:rPr>
            </w:pPr>
          </w:p>
          <w:p w14:paraId="7E442D06" w14:textId="77777777" w:rsidR="00764AE9" w:rsidRPr="00433CF5" w:rsidRDefault="00764AE9" w:rsidP="00764AE9">
            <w:pPr>
              <w:widowControl w:val="0"/>
              <w:shd w:val="clear" w:color="auto" w:fill="FFFFFF"/>
              <w:spacing w:before="0" w:after="100"/>
              <w:jc w:val="center"/>
              <w:rPr>
                <w:rFonts w:eastAsia="Times New Roman"/>
                <w:color w:val="000000"/>
                <w:sz w:val="20"/>
                <w:szCs w:val="20"/>
                <w:lang w:eastAsia="hr-HR" w:bidi="hr-HR"/>
              </w:rPr>
            </w:pPr>
          </w:p>
          <w:p w14:paraId="18804168"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71E708A7" w14:textId="77777777" w:rsidTr="00764AE9">
        <w:trPr>
          <w:trHeight w:val="938"/>
          <w:jc w:val="center"/>
        </w:trPr>
        <w:tc>
          <w:tcPr>
            <w:tcW w:w="5385" w:type="dxa"/>
            <w:gridSpan w:val="2"/>
            <w:tcBorders>
              <w:top w:val="single" w:sz="4" w:space="0" w:color="auto"/>
              <w:left w:val="single" w:sz="4" w:space="0" w:color="auto"/>
            </w:tcBorders>
            <w:vAlign w:val="center"/>
          </w:tcPr>
          <w:p w14:paraId="656FF59C" w14:textId="125D1DD2"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w:t>
            </w:r>
            <w:r w:rsidRPr="00433CF5">
              <w:rPr>
                <w:rFonts w:eastAsia="Times New Roman"/>
                <w:b/>
                <w:bCs/>
                <w:color w:val="000000"/>
                <w:sz w:val="20"/>
                <w:szCs w:val="20"/>
                <w:lang w:eastAsia="hr-HR" w:bidi="hr-HR"/>
              </w:rPr>
              <w:t xml:space="preserve">2014/41/EU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3 </w:t>
            </w:r>
            <w:r w:rsidRPr="00433CF5">
              <w:rPr>
                <w:rFonts w:eastAsia="Times New Roman"/>
                <w:color w:val="000000"/>
                <w:sz w:val="20"/>
                <w:szCs w:val="20"/>
                <w:lang w:eastAsia="hr-HR" w:bidi="hr-HR"/>
              </w:rPr>
              <w:t xml:space="preserve">April </w:t>
            </w:r>
            <w:r w:rsidRPr="00433CF5">
              <w:rPr>
                <w:rFonts w:eastAsia="Times New Roman"/>
                <w:color w:val="000000"/>
                <w:sz w:val="20"/>
                <w:szCs w:val="20"/>
                <w:lang w:eastAsia="bg-BG" w:bidi="bg-BG"/>
              </w:rPr>
              <w:t xml:space="preserve">2014 </w:t>
            </w:r>
            <w:r w:rsidRPr="00433CF5">
              <w:rPr>
                <w:rFonts w:eastAsia="Times New Roman"/>
                <w:color w:val="000000"/>
                <w:sz w:val="20"/>
                <w:szCs w:val="20"/>
                <w:lang w:eastAsia="hr-HR" w:bidi="hr-HR"/>
              </w:rPr>
              <w:t xml:space="preserve">regarding the </w:t>
            </w:r>
            <w:r w:rsidRPr="00433CF5">
              <w:rPr>
                <w:rFonts w:eastAsia="Times New Roman"/>
                <w:b/>
                <w:bCs/>
                <w:color w:val="000000"/>
                <w:sz w:val="20"/>
                <w:szCs w:val="20"/>
                <w:lang w:eastAsia="hr-HR" w:bidi="hr-HR"/>
              </w:rPr>
              <w:t>European Investigation Order in criminal matters</w:t>
            </w:r>
          </w:p>
        </w:tc>
        <w:tc>
          <w:tcPr>
            <w:tcW w:w="4676" w:type="dxa"/>
            <w:tcBorders>
              <w:top w:val="single" w:sz="4" w:space="0" w:color="auto"/>
              <w:left w:val="single" w:sz="4" w:space="0" w:color="auto"/>
              <w:right w:val="single" w:sz="4" w:space="0" w:color="auto"/>
            </w:tcBorders>
            <w:vAlign w:val="bottom"/>
          </w:tcPr>
          <w:p w14:paraId="4758C8C2"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130, 1.5.2014,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1-36</w:t>
            </w:r>
          </w:p>
          <w:p w14:paraId="132E4A5A" w14:textId="341A93F1" w:rsidR="00764AE9" w:rsidRPr="00433CF5" w:rsidRDefault="00764AE9" w:rsidP="00764AE9">
            <w:pPr>
              <w:widowControl w:val="0"/>
              <w:shd w:val="clear" w:color="auto" w:fill="FFFFFF"/>
              <w:spacing w:before="40"/>
              <w:jc w:val="center"/>
              <w:rPr>
                <w:rFonts w:eastAsia="Times New Roman"/>
                <w:color w:val="000000"/>
                <w:sz w:val="20"/>
                <w:szCs w:val="20"/>
                <w:lang w:eastAsia="hr-HR" w:bidi="hr-HR"/>
              </w:rPr>
            </w:pPr>
            <w:r w:rsidRPr="00433CF5">
              <w:rPr>
                <w:color w:val="333333"/>
                <w:sz w:val="20"/>
                <w:szCs w:val="20"/>
                <w:shd w:val="clear" w:color="auto" w:fill="FFFFFF"/>
              </w:rPr>
              <w:t>ELI: </w:t>
            </w:r>
            <w:hyperlink r:id="rId28" w:tooltip="Gives access to this document through its ELI URI." w:history="1">
              <w:r w:rsidRPr="00433CF5">
                <w:rPr>
                  <w:color w:val="0E47CB"/>
                  <w:sz w:val="20"/>
                  <w:szCs w:val="20"/>
                  <w:u w:val="single"/>
                  <w:shd w:val="clear" w:color="auto" w:fill="FFFFFF"/>
                </w:rPr>
                <w:t>http://data.europa.eu/eli/dir/2014/41/oj</w:t>
              </w:r>
            </w:hyperlink>
          </w:p>
        </w:tc>
      </w:tr>
      <w:tr w:rsidR="00764AE9" w:rsidRPr="00433CF5" w14:paraId="2F7DBD2C" w14:textId="77777777" w:rsidTr="00764AE9">
        <w:trPr>
          <w:trHeight w:val="938"/>
          <w:jc w:val="center"/>
        </w:trPr>
        <w:tc>
          <w:tcPr>
            <w:tcW w:w="5385" w:type="dxa"/>
            <w:gridSpan w:val="2"/>
            <w:tcBorders>
              <w:top w:val="single" w:sz="4" w:space="0" w:color="auto"/>
              <w:left w:val="single" w:sz="4" w:space="0" w:color="auto"/>
            </w:tcBorders>
            <w:vAlign w:val="center"/>
          </w:tcPr>
          <w:p w14:paraId="6CFAEDF3" w14:textId="4CBAD381"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Regulation (EU) No </w:t>
            </w:r>
            <w:r w:rsidRPr="00433CF5">
              <w:rPr>
                <w:rFonts w:eastAsia="Times New Roman"/>
                <w:b/>
                <w:bCs/>
                <w:color w:val="000000"/>
                <w:sz w:val="20"/>
                <w:szCs w:val="20"/>
                <w:lang w:eastAsia="bg-BG" w:bidi="bg-BG"/>
              </w:rPr>
              <w:t xml:space="preserve">655/2014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15 </w:t>
            </w:r>
            <w:r w:rsidRPr="00433CF5">
              <w:rPr>
                <w:rFonts w:eastAsia="Times New Roman"/>
                <w:color w:val="000000"/>
                <w:sz w:val="20"/>
                <w:szCs w:val="20"/>
                <w:lang w:eastAsia="hr-HR" w:bidi="hr-HR"/>
              </w:rPr>
              <w:t xml:space="preserve">May </w:t>
            </w:r>
            <w:r w:rsidRPr="00433CF5">
              <w:rPr>
                <w:rFonts w:eastAsia="Times New Roman"/>
                <w:color w:val="000000"/>
                <w:sz w:val="20"/>
                <w:szCs w:val="20"/>
                <w:lang w:eastAsia="bg-BG" w:bidi="bg-BG"/>
              </w:rPr>
              <w:t xml:space="preserve">2014 </w:t>
            </w:r>
            <w:r w:rsidRPr="00433CF5">
              <w:rPr>
                <w:rFonts w:eastAsia="Times New Roman"/>
                <w:color w:val="000000"/>
                <w:sz w:val="20"/>
                <w:szCs w:val="20"/>
                <w:lang w:eastAsia="hr-HR" w:bidi="hr-HR"/>
              </w:rPr>
              <w:t xml:space="preserve">establishing a </w:t>
            </w:r>
            <w:r w:rsidRPr="00433CF5">
              <w:rPr>
                <w:rFonts w:eastAsia="Times New Roman"/>
                <w:b/>
                <w:bCs/>
                <w:color w:val="000000"/>
                <w:sz w:val="20"/>
                <w:szCs w:val="20"/>
                <w:lang w:eastAsia="hr-HR" w:bidi="hr-HR"/>
              </w:rPr>
              <w:t xml:space="preserve">European Account Preservation Order procedure to facilitate </w:t>
            </w:r>
            <w:r w:rsidRPr="00433CF5">
              <w:rPr>
                <w:rFonts w:eastAsia="Times New Roman"/>
                <w:b/>
                <w:bCs/>
                <w:color w:val="000000"/>
                <w:sz w:val="20"/>
                <w:szCs w:val="20"/>
                <w:lang w:bidi="en-US"/>
              </w:rPr>
              <w:t>cross border</w:t>
            </w:r>
            <w:r w:rsidRPr="00433CF5">
              <w:rPr>
                <w:rFonts w:eastAsia="Times New Roman"/>
                <w:b/>
                <w:bCs/>
                <w:color w:val="000000"/>
                <w:sz w:val="20"/>
                <w:szCs w:val="20"/>
                <w:lang w:eastAsia="hr-HR" w:bidi="hr-HR"/>
              </w:rPr>
              <w:t xml:space="preserve"> debt recovery in civil and commercial matters</w:t>
            </w:r>
          </w:p>
        </w:tc>
        <w:tc>
          <w:tcPr>
            <w:tcW w:w="4676" w:type="dxa"/>
            <w:tcBorders>
              <w:top w:val="single" w:sz="4" w:space="0" w:color="auto"/>
              <w:left w:val="single" w:sz="4" w:space="0" w:color="auto"/>
              <w:right w:val="single" w:sz="4" w:space="0" w:color="auto"/>
            </w:tcBorders>
            <w:vAlign w:val="bottom"/>
          </w:tcPr>
          <w:p w14:paraId="71877F35" w14:textId="57599E18" w:rsidR="00764AE9" w:rsidRDefault="00764AE9" w:rsidP="00764AE9">
            <w:pPr>
              <w:widowControl w:val="0"/>
              <w:shd w:val="clear" w:color="auto" w:fill="FFFFFF"/>
              <w:spacing w:before="4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189, 27.6.2014,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59-92</w:t>
            </w:r>
          </w:p>
          <w:p w14:paraId="7769C37E" w14:textId="394922FD" w:rsidR="00764AE9" w:rsidRPr="00433CF5" w:rsidRDefault="00764AE9" w:rsidP="00764AE9">
            <w:pPr>
              <w:widowControl w:val="0"/>
              <w:shd w:val="clear" w:color="auto" w:fill="FFFFFF"/>
              <w:spacing w:before="40" w:after="0"/>
              <w:jc w:val="center"/>
              <w:rPr>
                <w:rFonts w:eastAsia="Times New Roman"/>
                <w:color w:val="000000"/>
                <w:sz w:val="20"/>
                <w:szCs w:val="20"/>
                <w:lang w:val="en-US" w:eastAsia="hr-HR" w:bidi="hr-HR"/>
              </w:rPr>
            </w:pPr>
            <w:r w:rsidRPr="00433CF5">
              <w:rPr>
                <w:color w:val="333333"/>
                <w:sz w:val="20"/>
                <w:szCs w:val="20"/>
                <w:shd w:val="clear" w:color="auto" w:fill="FFFFFF"/>
              </w:rPr>
              <w:t>ELI: </w:t>
            </w:r>
            <w:hyperlink r:id="rId29" w:tooltip="Gives access to this document through its ELI URI." w:history="1">
              <w:r w:rsidRPr="00433CF5">
                <w:rPr>
                  <w:color w:val="0E47CB"/>
                  <w:sz w:val="20"/>
                  <w:szCs w:val="20"/>
                  <w:u w:val="single"/>
                  <w:shd w:val="clear" w:color="auto" w:fill="FFFFFF"/>
                </w:rPr>
                <w:t>http://data.europa.eu/eli/reg/2014/655/oj</w:t>
              </w:r>
            </w:hyperlink>
          </w:p>
        </w:tc>
      </w:tr>
      <w:tr w:rsidR="00764AE9" w:rsidRPr="00433CF5" w14:paraId="03FD4723" w14:textId="77777777" w:rsidTr="00764AE9">
        <w:trPr>
          <w:trHeight w:val="938"/>
          <w:jc w:val="center"/>
        </w:trPr>
        <w:tc>
          <w:tcPr>
            <w:tcW w:w="5385" w:type="dxa"/>
            <w:gridSpan w:val="2"/>
            <w:tcBorders>
              <w:top w:val="single" w:sz="4" w:space="0" w:color="auto"/>
              <w:left w:val="single" w:sz="4" w:space="0" w:color="auto"/>
            </w:tcBorders>
            <w:vAlign w:val="center"/>
          </w:tcPr>
          <w:p w14:paraId="17FD56FC" w14:textId="1377E6F6"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Regulation (EU) No </w:t>
            </w:r>
            <w:r w:rsidRPr="00433CF5">
              <w:rPr>
                <w:rFonts w:eastAsia="Times New Roman"/>
                <w:b/>
                <w:bCs/>
                <w:color w:val="000000"/>
                <w:sz w:val="20"/>
                <w:szCs w:val="20"/>
                <w:lang w:eastAsia="bg-BG" w:bidi="bg-BG"/>
              </w:rPr>
              <w:t xml:space="preserve">910/2014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23 </w:t>
            </w:r>
            <w:r w:rsidRPr="00433CF5">
              <w:rPr>
                <w:rFonts w:eastAsia="Times New Roman"/>
                <w:color w:val="000000"/>
                <w:sz w:val="20"/>
                <w:szCs w:val="20"/>
                <w:lang w:eastAsia="hr-HR" w:bidi="hr-HR"/>
              </w:rPr>
              <w:t xml:space="preserve">July </w:t>
            </w:r>
            <w:r w:rsidRPr="00433CF5">
              <w:rPr>
                <w:rFonts w:eastAsia="Times New Roman"/>
                <w:color w:val="000000"/>
                <w:sz w:val="20"/>
                <w:szCs w:val="20"/>
                <w:lang w:eastAsia="bg-BG" w:bidi="bg-BG"/>
              </w:rPr>
              <w:t xml:space="preserve">2014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 xml:space="preserve">electronic identification and trust services for electronic transactions in the internal market </w:t>
            </w:r>
            <w:r w:rsidRPr="00433CF5">
              <w:rPr>
                <w:rFonts w:eastAsia="Times New Roman"/>
                <w:color w:val="000000"/>
                <w:sz w:val="20"/>
                <w:szCs w:val="20"/>
                <w:lang w:eastAsia="hr-HR" w:bidi="hr-HR"/>
              </w:rPr>
              <w:t>and repealing Directive 1999/93/EC</w:t>
            </w:r>
          </w:p>
        </w:tc>
        <w:tc>
          <w:tcPr>
            <w:tcW w:w="4676" w:type="dxa"/>
            <w:tcBorders>
              <w:top w:val="single" w:sz="4" w:space="0" w:color="auto"/>
              <w:left w:val="single" w:sz="4" w:space="0" w:color="auto"/>
              <w:right w:val="single" w:sz="4" w:space="0" w:color="auto"/>
            </w:tcBorders>
            <w:vAlign w:val="bottom"/>
          </w:tcPr>
          <w:p w14:paraId="35B490FE"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257, 28.8.2014,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73-114</w:t>
            </w:r>
          </w:p>
          <w:p w14:paraId="6B2B207C"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0" w:tooltip="Gives access to this document through its ELI URI." w:history="1">
              <w:r w:rsidRPr="00433CF5">
                <w:rPr>
                  <w:color w:val="0E47CB"/>
                  <w:sz w:val="20"/>
                  <w:szCs w:val="20"/>
                  <w:u w:val="single"/>
                  <w:shd w:val="clear" w:color="auto" w:fill="FFFFFF"/>
                </w:rPr>
                <w:t>http://data.europa.eu/eli/reg/2014/910/oj</w:t>
              </w:r>
            </w:hyperlink>
          </w:p>
          <w:p w14:paraId="6CFEBF49" w14:textId="77777777" w:rsidR="00764AE9" w:rsidRPr="00433CF5" w:rsidRDefault="00764AE9" w:rsidP="00764AE9">
            <w:pPr>
              <w:widowControl w:val="0"/>
              <w:shd w:val="clear" w:color="auto" w:fill="FFFFFF"/>
              <w:spacing w:before="40"/>
              <w:jc w:val="center"/>
              <w:rPr>
                <w:rFonts w:eastAsia="Times New Roman"/>
                <w:color w:val="000000"/>
                <w:sz w:val="20"/>
                <w:szCs w:val="20"/>
                <w:lang w:eastAsia="hr-HR" w:bidi="hr-HR"/>
              </w:rPr>
            </w:pPr>
          </w:p>
        </w:tc>
      </w:tr>
      <w:tr w:rsidR="00764AE9" w:rsidRPr="00433CF5" w14:paraId="39862673" w14:textId="77777777" w:rsidTr="00764AE9">
        <w:trPr>
          <w:trHeight w:val="710"/>
          <w:jc w:val="center"/>
        </w:trPr>
        <w:tc>
          <w:tcPr>
            <w:tcW w:w="5385" w:type="dxa"/>
            <w:gridSpan w:val="2"/>
            <w:tcBorders>
              <w:top w:val="single" w:sz="4" w:space="0" w:color="auto"/>
              <w:left w:val="single" w:sz="4" w:space="0" w:color="auto"/>
            </w:tcBorders>
            <w:vAlign w:val="center"/>
          </w:tcPr>
          <w:p w14:paraId="05CF1954" w14:textId="2412E765"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Regulation (EU) </w:t>
            </w:r>
            <w:r w:rsidRPr="00433CF5">
              <w:rPr>
                <w:rFonts w:eastAsia="Times New Roman"/>
                <w:b/>
                <w:bCs/>
                <w:color w:val="000000"/>
                <w:sz w:val="20"/>
                <w:szCs w:val="20"/>
                <w:lang w:eastAsia="bg-BG" w:bidi="bg-BG"/>
              </w:rPr>
              <w:t xml:space="preserve">2015/848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20 </w:t>
            </w:r>
            <w:r w:rsidRPr="00433CF5">
              <w:rPr>
                <w:rFonts w:eastAsia="Times New Roman"/>
                <w:color w:val="000000"/>
                <w:sz w:val="20"/>
                <w:szCs w:val="20"/>
                <w:lang w:eastAsia="hr-HR" w:bidi="hr-HR"/>
              </w:rPr>
              <w:t xml:space="preserve">May </w:t>
            </w:r>
            <w:r w:rsidRPr="00433CF5">
              <w:rPr>
                <w:rFonts w:eastAsia="Times New Roman"/>
                <w:color w:val="000000"/>
                <w:sz w:val="20"/>
                <w:szCs w:val="20"/>
                <w:lang w:eastAsia="bg-BG" w:bidi="bg-BG"/>
              </w:rPr>
              <w:t xml:space="preserve">2015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 xml:space="preserve">insolvency proceedings </w:t>
            </w:r>
            <w:r w:rsidRPr="00433CF5">
              <w:rPr>
                <w:rFonts w:eastAsia="Times New Roman"/>
                <w:color w:val="000000"/>
                <w:sz w:val="20"/>
                <w:szCs w:val="20"/>
                <w:lang w:eastAsia="hr-HR" w:bidi="hr-HR"/>
              </w:rPr>
              <w:t>(recast)</w:t>
            </w:r>
          </w:p>
        </w:tc>
        <w:tc>
          <w:tcPr>
            <w:tcW w:w="4676" w:type="dxa"/>
            <w:tcBorders>
              <w:top w:val="single" w:sz="4" w:space="0" w:color="auto"/>
              <w:left w:val="single" w:sz="4" w:space="0" w:color="auto"/>
              <w:right w:val="single" w:sz="4" w:space="0" w:color="auto"/>
            </w:tcBorders>
            <w:vAlign w:val="bottom"/>
          </w:tcPr>
          <w:p w14:paraId="750B64E8" w14:textId="3AA90E81" w:rsidR="00764AE9" w:rsidRPr="00433CF5" w:rsidRDefault="00764AE9" w:rsidP="00764AE9">
            <w:pPr>
              <w:widowControl w:val="0"/>
              <w:shd w:val="clear" w:color="auto" w:fill="FFFFFF"/>
              <w:spacing w:before="40"/>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141, 5.6.2015,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19-72</w:t>
            </w:r>
          </w:p>
          <w:p w14:paraId="7E2055BD" w14:textId="6D337632" w:rsidR="00764AE9" w:rsidRPr="00433CF5" w:rsidRDefault="00764AE9" w:rsidP="00764AE9">
            <w:pPr>
              <w:widowControl w:val="0"/>
              <w:shd w:val="clear" w:color="auto" w:fill="FFFFFF"/>
              <w:spacing w:before="40" w:after="0"/>
              <w:ind w:left="80"/>
              <w:jc w:val="center"/>
              <w:rPr>
                <w:rFonts w:eastAsia="Times New Roman"/>
                <w:color w:val="000000"/>
                <w:sz w:val="20"/>
                <w:szCs w:val="20"/>
                <w:lang w:val="en-US" w:eastAsia="hr-HR" w:bidi="hr-HR"/>
              </w:rPr>
            </w:pPr>
            <w:r w:rsidRPr="00433CF5">
              <w:rPr>
                <w:color w:val="333333"/>
                <w:sz w:val="20"/>
                <w:szCs w:val="20"/>
                <w:shd w:val="clear" w:color="auto" w:fill="FFFFFF"/>
              </w:rPr>
              <w:t>ELI: </w:t>
            </w:r>
            <w:hyperlink r:id="rId31" w:tooltip="Gives access to this document through its ELI URI." w:history="1">
              <w:r w:rsidRPr="00433CF5">
                <w:rPr>
                  <w:color w:val="0E47CB"/>
                  <w:sz w:val="20"/>
                  <w:szCs w:val="20"/>
                  <w:u w:val="single"/>
                  <w:shd w:val="clear" w:color="auto" w:fill="FFFFFF"/>
                </w:rPr>
                <w:t>http://data.europa.eu/eli/reg/2015/848/oj</w:t>
              </w:r>
            </w:hyperlink>
          </w:p>
        </w:tc>
      </w:tr>
      <w:tr w:rsidR="00764AE9" w:rsidRPr="00433CF5" w14:paraId="6A685C38" w14:textId="77777777" w:rsidTr="00764AE9">
        <w:trPr>
          <w:trHeight w:val="1130"/>
          <w:jc w:val="center"/>
        </w:trPr>
        <w:tc>
          <w:tcPr>
            <w:tcW w:w="5385" w:type="dxa"/>
            <w:gridSpan w:val="2"/>
            <w:tcBorders>
              <w:top w:val="single" w:sz="4" w:space="0" w:color="auto"/>
              <w:left w:val="single" w:sz="4" w:space="0" w:color="auto"/>
            </w:tcBorders>
            <w:vAlign w:val="center"/>
          </w:tcPr>
          <w:p w14:paraId="6A7DEE1B" w14:textId="192134DF"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Regulation (EU) </w:t>
            </w:r>
            <w:r w:rsidRPr="00433CF5">
              <w:rPr>
                <w:rFonts w:eastAsia="Times New Roman"/>
                <w:b/>
                <w:bCs/>
                <w:color w:val="000000"/>
                <w:sz w:val="20"/>
                <w:szCs w:val="20"/>
                <w:lang w:eastAsia="bg-BG" w:bidi="bg-BG"/>
              </w:rPr>
              <w:t xml:space="preserve">2015/2421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16 </w:t>
            </w:r>
            <w:r w:rsidRPr="00433CF5">
              <w:rPr>
                <w:rFonts w:eastAsia="Times New Roman"/>
                <w:color w:val="000000"/>
                <w:sz w:val="20"/>
                <w:szCs w:val="20"/>
                <w:lang w:eastAsia="hr-HR" w:bidi="hr-HR"/>
              </w:rPr>
              <w:t xml:space="preserve">December </w:t>
            </w:r>
            <w:r w:rsidRPr="00433CF5">
              <w:rPr>
                <w:rFonts w:eastAsia="Times New Roman"/>
                <w:color w:val="000000"/>
                <w:sz w:val="20"/>
                <w:szCs w:val="20"/>
                <w:lang w:eastAsia="bg-BG" w:bidi="bg-BG"/>
              </w:rPr>
              <w:t xml:space="preserve">2015 </w:t>
            </w:r>
            <w:r w:rsidRPr="00433CF5">
              <w:rPr>
                <w:rFonts w:eastAsia="Times New Roman"/>
                <w:color w:val="000000"/>
                <w:sz w:val="20"/>
                <w:szCs w:val="20"/>
                <w:lang w:eastAsia="hr-HR" w:bidi="hr-HR"/>
              </w:rPr>
              <w:t>amending Regulation (EC) No </w:t>
            </w:r>
            <w:r w:rsidRPr="00433CF5">
              <w:rPr>
                <w:rFonts w:eastAsia="Times New Roman"/>
                <w:color w:val="000000"/>
                <w:sz w:val="20"/>
                <w:szCs w:val="20"/>
                <w:lang w:eastAsia="bg-BG" w:bidi="bg-BG"/>
              </w:rPr>
              <w:t xml:space="preserve">861/2007 </w:t>
            </w:r>
            <w:r w:rsidRPr="00433CF5">
              <w:rPr>
                <w:rFonts w:eastAsia="Times New Roman"/>
                <w:color w:val="000000"/>
                <w:sz w:val="20"/>
                <w:szCs w:val="20"/>
                <w:lang w:eastAsia="hr-HR" w:bidi="hr-HR"/>
              </w:rPr>
              <w:t>establishing a European Small Claims Procedure and Regulation (EC) No </w:t>
            </w:r>
            <w:r w:rsidRPr="00433CF5">
              <w:rPr>
                <w:rFonts w:eastAsia="Times New Roman"/>
                <w:color w:val="000000"/>
                <w:sz w:val="20"/>
                <w:szCs w:val="20"/>
                <w:lang w:eastAsia="bg-BG" w:bidi="bg-BG"/>
              </w:rPr>
              <w:t xml:space="preserve">1896/2006 </w:t>
            </w:r>
            <w:r w:rsidRPr="00433CF5">
              <w:rPr>
                <w:rFonts w:eastAsia="Times New Roman"/>
                <w:color w:val="000000"/>
                <w:sz w:val="20"/>
                <w:szCs w:val="20"/>
                <w:lang w:eastAsia="hr-HR" w:bidi="hr-HR"/>
              </w:rPr>
              <w:t xml:space="preserve">creating a </w:t>
            </w:r>
            <w:r w:rsidRPr="00433CF5">
              <w:rPr>
                <w:rFonts w:eastAsia="Times New Roman"/>
                <w:b/>
                <w:bCs/>
                <w:color w:val="000000"/>
                <w:sz w:val="20"/>
                <w:szCs w:val="20"/>
                <w:lang w:eastAsia="hr-HR" w:bidi="hr-HR"/>
              </w:rPr>
              <w:t>European order for payment procedure</w:t>
            </w:r>
          </w:p>
        </w:tc>
        <w:tc>
          <w:tcPr>
            <w:tcW w:w="4676" w:type="dxa"/>
            <w:tcBorders>
              <w:top w:val="single" w:sz="4" w:space="0" w:color="auto"/>
              <w:left w:val="single" w:sz="4" w:space="0" w:color="auto"/>
              <w:right w:val="single" w:sz="4" w:space="0" w:color="auto"/>
            </w:tcBorders>
            <w:vAlign w:val="bottom"/>
          </w:tcPr>
          <w:p w14:paraId="7C2463F6" w14:textId="51104D09" w:rsidR="00764AE9" w:rsidRPr="00433CF5" w:rsidRDefault="00764AE9" w:rsidP="00764AE9">
            <w:pPr>
              <w:widowControl w:val="0"/>
              <w:shd w:val="clear" w:color="auto" w:fill="FFFFFF"/>
              <w:spacing w:before="4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341, 24.12.2015,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1-13</w:t>
            </w:r>
          </w:p>
          <w:p w14:paraId="156BFA27" w14:textId="68F10B0E" w:rsidR="00764AE9" w:rsidRPr="00433CF5" w:rsidRDefault="00764AE9" w:rsidP="00764AE9">
            <w:pPr>
              <w:widowControl w:val="0"/>
              <w:shd w:val="clear" w:color="auto" w:fill="FFFFFF"/>
              <w:spacing w:before="40" w:after="0"/>
              <w:jc w:val="center"/>
              <w:rPr>
                <w:rFonts w:eastAsia="Times New Roman"/>
                <w:color w:val="000000"/>
                <w:sz w:val="20"/>
                <w:szCs w:val="20"/>
                <w:lang w:val="en-US" w:eastAsia="hr-HR" w:bidi="hr-HR"/>
              </w:rPr>
            </w:pPr>
            <w:r w:rsidRPr="00433CF5">
              <w:rPr>
                <w:color w:val="333333"/>
                <w:sz w:val="20"/>
                <w:szCs w:val="20"/>
                <w:shd w:val="clear" w:color="auto" w:fill="FFFFFF"/>
              </w:rPr>
              <w:t>ELI: </w:t>
            </w:r>
            <w:hyperlink r:id="rId32" w:tooltip="Gives access to this document through its ELI URI." w:history="1">
              <w:r w:rsidRPr="00433CF5">
                <w:rPr>
                  <w:color w:val="0E47CB"/>
                  <w:sz w:val="20"/>
                  <w:szCs w:val="20"/>
                  <w:u w:val="single"/>
                  <w:shd w:val="clear" w:color="auto" w:fill="FFFFFF"/>
                </w:rPr>
                <w:t>http://data.europa.eu/eli/reg/2015/2421/oj</w:t>
              </w:r>
            </w:hyperlink>
          </w:p>
        </w:tc>
      </w:tr>
      <w:tr w:rsidR="00764AE9" w:rsidRPr="00433CF5" w14:paraId="55A292E6" w14:textId="77777777" w:rsidTr="00764AE9">
        <w:trPr>
          <w:trHeight w:hRule="exact" w:val="997"/>
          <w:jc w:val="center"/>
        </w:trPr>
        <w:tc>
          <w:tcPr>
            <w:tcW w:w="5379" w:type="dxa"/>
            <w:tcBorders>
              <w:top w:val="single" w:sz="4" w:space="0" w:color="auto"/>
              <w:left w:val="single" w:sz="4" w:space="0" w:color="auto"/>
              <w:bottom w:val="single" w:sz="4" w:space="0" w:color="auto"/>
            </w:tcBorders>
            <w:vAlign w:val="center"/>
          </w:tcPr>
          <w:p w14:paraId="219B0A1C" w14:textId="77777777"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(EU) </w:t>
            </w:r>
            <w:r w:rsidRPr="00433CF5">
              <w:rPr>
                <w:rFonts w:eastAsia="Times New Roman"/>
                <w:b/>
                <w:bCs/>
                <w:color w:val="000000"/>
                <w:sz w:val="20"/>
                <w:szCs w:val="20"/>
                <w:lang w:eastAsia="bg-BG" w:bidi="bg-BG"/>
              </w:rPr>
              <w:t xml:space="preserve">2016/343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9 </w:t>
            </w:r>
            <w:r w:rsidRPr="00433CF5">
              <w:rPr>
                <w:rFonts w:eastAsia="Times New Roman"/>
                <w:color w:val="000000"/>
                <w:sz w:val="20"/>
                <w:szCs w:val="20"/>
                <w:lang w:eastAsia="hr-HR" w:bidi="hr-HR"/>
              </w:rPr>
              <w:t xml:space="preserve">March </w:t>
            </w:r>
            <w:r w:rsidRPr="00433CF5">
              <w:rPr>
                <w:rFonts w:eastAsia="Times New Roman"/>
                <w:color w:val="000000"/>
                <w:sz w:val="20"/>
                <w:szCs w:val="20"/>
                <w:lang w:eastAsia="bg-BG" w:bidi="bg-BG"/>
              </w:rPr>
              <w:t xml:space="preserve">2016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 xml:space="preserve">strengthening of certain aspects of the presumption of innocence </w:t>
            </w:r>
            <w:r w:rsidRPr="00433CF5">
              <w:rPr>
                <w:rFonts w:eastAsia="Times New Roman"/>
                <w:color w:val="000000"/>
                <w:sz w:val="20"/>
                <w:szCs w:val="20"/>
                <w:lang w:eastAsia="hr-HR" w:bidi="hr-HR"/>
              </w:rPr>
              <w:t xml:space="preserve">and of the </w:t>
            </w:r>
            <w:r w:rsidRPr="00433CF5">
              <w:rPr>
                <w:rFonts w:eastAsia="Times New Roman"/>
                <w:b/>
                <w:bCs/>
                <w:color w:val="000000"/>
                <w:sz w:val="20"/>
                <w:szCs w:val="20"/>
                <w:lang w:eastAsia="hr-HR" w:bidi="hr-HR"/>
              </w:rPr>
              <w:t>right to be present at the trial in criminal proceedings</w:t>
            </w:r>
          </w:p>
        </w:tc>
        <w:tc>
          <w:tcPr>
            <w:tcW w:w="4682" w:type="dxa"/>
            <w:gridSpan w:val="2"/>
            <w:tcBorders>
              <w:top w:val="single" w:sz="4" w:space="0" w:color="auto"/>
              <w:left w:val="single" w:sz="4" w:space="0" w:color="auto"/>
              <w:right w:val="single" w:sz="4" w:space="0" w:color="auto"/>
            </w:tcBorders>
          </w:tcPr>
          <w:p w14:paraId="53DF888C" w14:textId="77777777" w:rsidR="00764AE9" w:rsidRPr="00433CF5" w:rsidRDefault="00764AE9" w:rsidP="00764AE9">
            <w:pPr>
              <w:widowControl w:val="0"/>
              <w:shd w:val="clear" w:color="auto" w:fill="FFFFFF"/>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65, 11.3.2016, </w:t>
            </w:r>
            <w:r w:rsidRPr="00433CF5">
              <w:rPr>
                <w:rFonts w:eastAsia="Times New Roman"/>
                <w:color w:val="000000"/>
                <w:sz w:val="20"/>
                <w:szCs w:val="20"/>
                <w:lang w:eastAsia="hr-HR" w:bidi="hr-HR"/>
              </w:rPr>
              <w:t>p. 1-11</w:t>
            </w:r>
          </w:p>
          <w:p w14:paraId="41863B6D"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3" w:tooltip="Gives access to this document through its ELI URI." w:history="1">
              <w:r w:rsidRPr="00433CF5">
                <w:rPr>
                  <w:color w:val="0E47CB"/>
                  <w:sz w:val="20"/>
                  <w:szCs w:val="20"/>
                  <w:u w:val="single"/>
                  <w:shd w:val="clear" w:color="auto" w:fill="FFFFFF"/>
                </w:rPr>
                <w:t>http://data.europa.eu/eli/dir/2016/343/oj</w:t>
              </w:r>
            </w:hyperlink>
          </w:p>
        </w:tc>
      </w:tr>
      <w:tr w:rsidR="00764AE9" w:rsidRPr="00433CF5" w14:paraId="23DEA31A" w14:textId="77777777" w:rsidTr="00764AE9">
        <w:trPr>
          <w:trHeight w:val="983"/>
          <w:jc w:val="center"/>
        </w:trPr>
        <w:tc>
          <w:tcPr>
            <w:tcW w:w="5379" w:type="dxa"/>
            <w:tcBorders>
              <w:top w:val="single" w:sz="4" w:space="0" w:color="auto"/>
              <w:left w:val="single" w:sz="4" w:space="0" w:color="auto"/>
              <w:bottom w:val="single" w:sz="4" w:space="0" w:color="auto"/>
            </w:tcBorders>
            <w:vAlign w:val="center"/>
          </w:tcPr>
          <w:p w14:paraId="58EA5446" w14:textId="77777777"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(EU) </w:t>
            </w:r>
            <w:r w:rsidRPr="00433CF5">
              <w:rPr>
                <w:rFonts w:eastAsia="Times New Roman"/>
                <w:b/>
                <w:bCs/>
                <w:color w:val="000000"/>
                <w:sz w:val="20"/>
                <w:szCs w:val="20"/>
                <w:lang w:eastAsia="bg-BG" w:bidi="bg-BG"/>
              </w:rPr>
              <w:t xml:space="preserve">2016/800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11 </w:t>
            </w:r>
            <w:r w:rsidRPr="00433CF5">
              <w:rPr>
                <w:rFonts w:eastAsia="Times New Roman"/>
                <w:color w:val="000000"/>
                <w:sz w:val="20"/>
                <w:szCs w:val="20"/>
                <w:lang w:eastAsia="hr-HR" w:bidi="hr-HR"/>
              </w:rPr>
              <w:t xml:space="preserve">May </w:t>
            </w:r>
            <w:r w:rsidRPr="00433CF5">
              <w:rPr>
                <w:rFonts w:eastAsia="Times New Roman"/>
                <w:color w:val="000000"/>
                <w:sz w:val="20"/>
                <w:szCs w:val="20"/>
                <w:lang w:eastAsia="bg-BG" w:bidi="bg-BG"/>
              </w:rPr>
              <w:t xml:space="preserve">2016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 xml:space="preserve">procedural safeguards for children </w:t>
            </w:r>
            <w:r w:rsidRPr="00433CF5">
              <w:rPr>
                <w:rFonts w:eastAsia="Times New Roman"/>
                <w:color w:val="000000"/>
                <w:sz w:val="20"/>
                <w:szCs w:val="20"/>
                <w:lang w:eastAsia="hr-HR" w:bidi="hr-HR"/>
              </w:rPr>
              <w:t xml:space="preserve">who are </w:t>
            </w:r>
            <w:r w:rsidRPr="00433CF5">
              <w:rPr>
                <w:rFonts w:eastAsia="Times New Roman"/>
                <w:b/>
                <w:bCs/>
                <w:color w:val="000000"/>
                <w:sz w:val="20"/>
                <w:szCs w:val="20"/>
                <w:lang w:eastAsia="hr-HR" w:bidi="hr-HR"/>
              </w:rPr>
              <w:t>suspects or accused persons in criminal proceedings</w:t>
            </w:r>
          </w:p>
        </w:tc>
        <w:tc>
          <w:tcPr>
            <w:tcW w:w="4682" w:type="dxa"/>
            <w:gridSpan w:val="2"/>
            <w:tcBorders>
              <w:top w:val="single" w:sz="4" w:space="0" w:color="auto"/>
              <w:left w:val="single" w:sz="4" w:space="0" w:color="auto"/>
              <w:right w:val="single" w:sz="4" w:space="0" w:color="auto"/>
            </w:tcBorders>
            <w:vAlign w:val="bottom"/>
          </w:tcPr>
          <w:p w14:paraId="30AFEFA7"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 xml:space="preserve">OJ L132, </w:t>
            </w:r>
            <w:r w:rsidRPr="00433CF5">
              <w:rPr>
                <w:rFonts w:eastAsia="Times New Roman"/>
                <w:color w:val="000000"/>
                <w:sz w:val="20"/>
                <w:szCs w:val="20"/>
                <w:lang w:eastAsia="bg-BG" w:bidi="bg-BG"/>
              </w:rPr>
              <w:t xml:space="preserve">21.5.2016, </w:t>
            </w:r>
            <w:r w:rsidRPr="00433CF5">
              <w:rPr>
                <w:rFonts w:eastAsia="Times New Roman"/>
                <w:color w:val="000000"/>
                <w:sz w:val="20"/>
                <w:szCs w:val="20"/>
                <w:lang w:eastAsia="hr-HR" w:bidi="hr-HR"/>
              </w:rPr>
              <w:t>p. 1-20</w:t>
            </w:r>
          </w:p>
          <w:p w14:paraId="6889948F"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4" w:tooltip="Gives access to this document through its ELI URI." w:history="1">
              <w:r w:rsidRPr="00433CF5">
                <w:rPr>
                  <w:color w:val="0E47CB"/>
                  <w:sz w:val="20"/>
                  <w:szCs w:val="20"/>
                  <w:u w:val="single"/>
                  <w:shd w:val="clear" w:color="auto" w:fill="FFFFFF"/>
                </w:rPr>
                <w:t>http://data.europa.eu/eli/dir/2016/800/oj</w:t>
              </w:r>
            </w:hyperlink>
          </w:p>
          <w:p w14:paraId="01152950"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798A0A47" w14:textId="77777777" w:rsidTr="00764AE9">
        <w:trPr>
          <w:trHeight w:val="983"/>
          <w:jc w:val="center"/>
        </w:trPr>
        <w:tc>
          <w:tcPr>
            <w:tcW w:w="5379" w:type="dxa"/>
            <w:tcBorders>
              <w:top w:val="single" w:sz="4" w:space="0" w:color="auto"/>
              <w:left w:val="single" w:sz="4" w:space="0" w:color="auto"/>
              <w:bottom w:val="single" w:sz="4" w:space="0" w:color="auto"/>
            </w:tcBorders>
            <w:vAlign w:val="center"/>
          </w:tcPr>
          <w:p w14:paraId="081091DB" w14:textId="78DC89ED"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Regulation (EU) </w:t>
            </w:r>
            <w:r w:rsidRPr="00433CF5">
              <w:rPr>
                <w:rFonts w:eastAsia="Times New Roman"/>
                <w:b/>
                <w:bCs/>
                <w:color w:val="000000"/>
                <w:sz w:val="20"/>
                <w:szCs w:val="20"/>
                <w:lang w:eastAsia="bg-BG" w:bidi="bg-BG"/>
              </w:rPr>
              <w:t xml:space="preserve">2016/1103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24 </w:t>
            </w:r>
            <w:r w:rsidRPr="00433CF5">
              <w:rPr>
                <w:rFonts w:eastAsia="Times New Roman"/>
                <w:color w:val="000000"/>
                <w:sz w:val="20"/>
                <w:szCs w:val="20"/>
                <w:lang w:eastAsia="hr-HR" w:bidi="hr-HR"/>
              </w:rPr>
              <w:t xml:space="preserve">June </w:t>
            </w:r>
            <w:r w:rsidRPr="00433CF5">
              <w:rPr>
                <w:rFonts w:eastAsia="Times New Roman"/>
                <w:color w:val="000000"/>
                <w:sz w:val="20"/>
                <w:szCs w:val="20"/>
                <w:lang w:eastAsia="bg-BG" w:bidi="bg-BG"/>
              </w:rPr>
              <w:t xml:space="preserve">2016 </w:t>
            </w:r>
            <w:r w:rsidRPr="00433CF5">
              <w:rPr>
                <w:rFonts w:eastAsia="Times New Roman"/>
                <w:color w:val="000000"/>
                <w:sz w:val="20"/>
                <w:szCs w:val="20"/>
                <w:lang w:eastAsia="hr-HR" w:bidi="hr-HR"/>
              </w:rPr>
              <w:t xml:space="preserve">implementing </w:t>
            </w:r>
            <w:r w:rsidRPr="00433CF5">
              <w:rPr>
                <w:rFonts w:eastAsia="Times New Roman"/>
                <w:b/>
                <w:bCs/>
                <w:color w:val="000000"/>
                <w:sz w:val="20"/>
                <w:szCs w:val="20"/>
                <w:lang w:eastAsia="hr-HR" w:bidi="hr-HR"/>
              </w:rPr>
              <w:t xml:space="preserve">enhanced cooperation </w:t>
            </w:r>
            <w:proofErr w:type="gramStart"/>
            <w:r w:rsidRPr="00433CF5">
              <w:rPr>
                <w:rFonts w:eastAsia="Times New Roman"/>
                <w:b/>
                <w:bCs/>
                <w:color w:val="000000"/>
                <w:sz w:val="20"/>
                <w:szCs w:val="20"/>
                <w:lang w:eastAsia="hr-HR" w:bidi="hr-HR"/>
              </w:rPr>
              <w:t>in the area of</w:t>
            </w:r>
            <w:proofErr w:type="gramEnd"/>
            <w:r w:rsidRPr="00433CF5">
              <w:rPr>
                <w:rFonts w:eastAsia="Times New Roman"/>
                <w:b/>
                <w:bCs/>
                <w:color w:val="000000"/>
                <w:sz w:val="20"/>
                <w:szCs w:val="20"/>
                <w:lang w:eastAsia="hr-HR" w:bidi="hr-HR"/>
              </w:rPr>
              <w:t xml:space="preserve"> jurisdiction, applicable law and the recognition and enforcement of decisions in matters of matrimonial property regimes</w:t>
            </w:r>
          </w:p>
        </w:tc>
        <w:tc>
          <w:tcPr>
            <w:tcW w:w="4682" w:type="dxa"/>
            <w:gridSpan w:val="2"/>
            <w:tcBorders>
              <w:top w:val="single" w:sz="4" w:space="0" w:color="auto"/>
              <w:left w:val="single" w:sz="4" w:space="0" w:color="auto"/>
              <w:right w:val="single" w:sz="4" w:space="0" w:color="auto"/>
            </w:tcBorders>
            <w:vAlign w:val="bottom"/>
          </w:tcPr>
          <w:p w14:paraId="3FA43A3D"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183, 8.7.2016,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1-29</w:t>
            </w:r>
          </w:p>
          <w:p w14:paraId="7EB825AB" w14:textId="1A5B1ACB"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5" w:tooltip="Gives access to this document through its ELI URI." w:history="1">
              <w:r w:rsidRPr="00433CF5">
                <w:rPr>
                  <w:color w:val="0E47CB"/>
                  <w:sz w:val="20"/>
                  <w:szCs w:val="20"/>
                  <w:u w:val="single"/>
                  <w:shd w:val="clear" w:color="auto" w:fill="FFFFFF"/>
                </w:rPr>
                <w:t>http://data.europa.eu/eli/reg/2016/1103/oj</w:t>
              </w:r>
            </w:hyperlink>
          </w:p>
        </w:tc>
      </w:tr>
      <w:tr w:rsidR="00764AE9" w:rsidRPr="00433CF5" w14:paraId="3CEF6788" w14:textId="77777777" w:rsidTr="00764AE9">
        <w:trPr>
          <w:trHeight w:val="983"/>
          <w:jc w:val="center"/>
        </w:trPr>
        <w:tc>
          <w:tcPr>
            <w:tcW w:w="5379" w:type="dxa"/>
            <w:tcBorders>
              <w:top w:val="single" w:sz="4" w:space="0" w:color="auto"/>
              <w:left w:val="single" w:sz="4" w:space="0" w:color="auto"/>
              <w:bottom w:val="single" w:sz="4" w:space="0" w:color="auto"/>
            </w:tcBorders>
            <w:vAlign w:val="center"/>
          </w:tcPr>
          <w:p w14:paraId="0961A8CD" w14:textId="761DAB3F"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Council Regulation (EU) </w:t>
            </w:r>
            <w:r w:rsidRPr="00433CF5">
              <w:rPr>
                <w:rFonts w:eastAsia="Times New Roman"/>
                <w:b/>
                <w:bCs/>
                <w:color w:val="000000"/>
                <w:sz w:val="20"/>
                <w:szCs w:val="20"/>
                <w:lang w:eastAsia="bg-BG" w:bidi="bg-BG"/>
              </w:rPr>
              <w:t xml:space="preserve">2016/1104 </w:t>
            </w:r>
            <w:r w:rsidRPr="00433CF5">
              <w:rPr>
                <w:rFonts w:eastAsia="Times New Roman"/>
                <w:color w:val="000000"/>
                <w:sz w:val="20"/>
                <w:szCs w:val="20"/>
                <w:lang w:eastAsia="hr-HR" w:bidi="hr-HR"/>
              </w:rPr>
              <w:t xml:space="preserve">of </w:t>
            </w:r>
            <w:r w:rsidRPr="00433CF5">
              <w:rPr>
                <w:rFonts w:eastAsia="Times New Roman"/>
                <w:color w:val="000000"/>
                <w:sz w:val="20"/>
                <w:szCs w:val="20"/>
                <w:lang w:eastAsia="bg-BG" w:bidi="bg-BG"/>
              </w:rPr>
              <w:t>24 </w:t>
            </w:r>
            <w:r w:rsidRPr="00433CF5">
              <w:rPr>
                <w:rFonts w:eastAsia="Times New Roman"/>
                <w:color w:val="000000"/>
                <w:sz w:val="20"/>
                <w:szCs w:val="20"/>
                <w:lang w:eastAsia="hr-HR" w:bidi="hr-HR"/>
              </w:rPr>
              <w:t xml:space="preserve">June </w:t>
            </w:r>
            <w:r w:rsidRPr="00433CF5">
              <w:rPr>
                <w:rFonts w:eastAsia="Times New Roman"/>
                <w:color w:val="000000"/>
                <w:sz w:val="20"/>
                <w:szCs w:val="20"/>
                <w:lang w:eastAsia="bg-BG" w:bidi="bg-BG"/>
              </w:rPr>
              <w:t xml:space="preserve">2016 </w:t>
            </w:r>
            <w:r w:rsidRPr="00433CF5">
              <w:rPr>
                <w:rFonts w:eastAsia="Times New Roman"/>
                <w:color w:val="000000"/>
                <w:sz w:val="20"/>
                <w:szCs w:val="20"/>
                <w:lang w:eastAsia="hr-HR" w:bidi="hr-HR"/>
              </w:rPr>
              <w:t xml:space="preserve">implementing </w:t>
            </w:r>
            <w:r w:rsidRPr="00433CF5">
              <w:rPr>
                <w:rFonts w:eastAsia="Times New Roman"/>
                <w:b/>
                <w:bCs/>
                <w:color w:val="000000"/>
                <w:sz w:val="20"/>
                <w:szCs w:val="20"/>
                <w:lang w:eastAsia="hr-HR" w:bidi="hr-HR"/>
              </w:rPr>
              <w:t xml:space="preserve">enhanced cooperation </w:t>
            </w:r>
            <w:proofErr w:type="gramStart"/>
            <w:r w:rsidRPr="00433CF5">
              <w:rPr>
                <w:rFonts w:eastAsia="Times New Roman"/>
                <w:b/>
                <w:bCs/>
                <w:color w:val="000000"/>
                <w:sz w:val="20"/>
                <w:szCs w:val="20"/>
                <w:lang w:eastAsia="hr-HR" w:bidi="hr-HR"/>
              </w:rPr>
              <w:t>in the area of</w:t>
            </w:r>
            <w:proofErr w:type="gramEnd"/>
            <w:r w:rsidRPr="00433CF5">
              <w:rPr>
                <w:rFonts w:eastAsia="Times New Roman"/>
                <w:b/>
                <w:bCs/>
                <w:color w:val="000000"/>
                <w:sz w:val="20"/>
                <w:szCs w:val="20"/>
                <w:lang w:eastAsia="hr-HR" w:bidi="hr-HR"/>
              </w:rPr>
              <w:t xml:space="preserve"> jurisdiction, applicable law and the recognition and enforcement of decisions in matters of the property consequences of registered partnerships</w:t>
            </w:r>
          </w:p>
        </w:tc>
        <w:tc>
          <w:tcPr>
            <w:tcW w:w="4682" w:type="dxa"/>
            <w:gridSpan w:val="2"/>
            <w:tcBorders>
              <w:top w:val="single" w:sz="4" w:space="0" w:color="auto"/>
              <w:left w:val="single" w:sz="4" w:space="0" w:color="auto"/>
              <w:right w:val="single" w:sz="4" w:space="0" w:color="auto"/>
            </w:tcBorders>
            <w:vAlign w:val="bottom"/>
          </w:tcPr>
          <w:p w14:paraId="6B3F73EA"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183, 8.7.2016,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30-56</w:t>
            </w:r>
          </w:p>
          <w:p w14:paraId="7C4EC4BA"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6" w:tooltip="Gives access to this document through its ELI URI." w:history="1">
              <w:r w:rsidRPr="00433CF5">
                <w:rPr>
                  <w:color w:val="0E47CB"/>
                  <w:sz w:val="20"/>
                  <w:szCs w:val="20"/>
                  <w:u w:val="single"/>
                  <w:shd w:val="clear" w:color="auto" w:fill="FFFFFF"/>
                </w:rPr>
                <w:t>http://data.europa.eu/eli/reg/2016/1104/oj</w:t>
              </w:r>
            </w:hyperlink>
          </w:p>
          <w:p w14:paraId="029583D6"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hr-HR" w:bidi="hr-HR"/>
              </w:rPr>
            </w:pPr>
          </w:p>
        </w:tc>
      </w:tr>
      <w:tr w:rsidR="00764AE9" w:rsidRPr="00433CF5" w14:paraId="420577F8" w14:textId="77777777" w:rsidTr="00EC0AFD">
        <w:trPr>
          <w:trHeight w:val="983"/>
          <w:jc w:val="center"/>
        </w:trPr>
        <w:tc>
          <w:tcPr>
            <w:tcW w:w="5379" w:type="dxa"/>
            <w:tcBorders>
              <w:top w:val="single" w:sz="4" w:space="0" w:color="auto"/>
              <w:left w:val="single" w:sz="4" w:space="0" w:color="auto"/>
              <w:bottom w:val="single" w:sz="4" w:space="0" w:color="auto"/>
            </w:tcBorders>
            <w:vAlign w:val="center"/>
          </w:tcPr>
          <w:p w14:paraId="4673196E" w14:textId="67D44E28"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Regulation (EU) </w:t>
            </w:r>
            <w:r w:rsidRPr="00433CF5">
              <w:rPr>
                <w:rFonts w:eastAsia="Times New Roman"/>
                <w:b/>
                <w:bCs/>
                <w:color w:val="000000"/>
                <w:sz w:val="20"/>
                <w:szCs w:val="20"/>
                <w:lang w:eastAsia="bg-BG" w:bidi="bg-BG"/>
              </w:rPr>
              <w:t xml:space="preserve">2016/1191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6 </w:t>
            </w:r>
            <w:r w:rsidRPr="00433CF5">
              <w:rPr>
                <w:rFonts w:eastAsia="Times New Roman"/>
                <w:color w:val="000000"/>
                <w:sz w:val="20"/>
                <w:szCs w:val="20"/>
                <w:lang w:eastAsia="hr-HR" w:bidi="hr-HR"/>
              </w:rPr>
              <w:t xml:space="preserve">July </w:t>
            </w:r>
            <w:r w:rsidRPr="00433CF5">
              <w:rPr>
                <w:rFonts w:eastAsia="Times New Roman"/>
                <w:color w:val="000000"/>
                <w:sz w:val="20"/>
                <w:szCs w:val="20"/>
                <w:lang w:eastAsia="bg-BG" w:bidi="bg-BG"/>
              </w:rPr>
              <w:t xml:space="preserve">2016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 xml:space="preserve">promoting the free movement of citizens by simplifying the requirements for presenting certain public documents in the European Union </w:t>
            </w:r>
            <w:r w:rsidRPr="00433CF5">
              <w:rPr>
                <w:rFonts w:eastAsia="Times New Roman"/>
                <w:color w:val="000000"/>
                <w:sz w:val="20"/>
                <w:szCs w:val="20"/>
                <w:lang w:eastAsia="hr-HR" w:bidi="hr-HR"/>
              </w:rPr>
              <w:t>and amending Regulation (EU) No </w:t>
            </w:r>
            <w:r w:rsidRPr="00433CF5">
              <w:rPr>
                <w:rFonts w:eastAsia="Times New Roman"/>
                <w:color w:val="000000"/>
                <w:sz w:val="20"/>
                <w:szCs w:val="20"/>
                <w:lang w:eastAsia="bg-BG" w:bidi="bg-BG"/>
              </w:rPr>
              <w:t>1024/2012</w:t>
            </w:r>
          </w:p>
        </w:tc>
        <w:tc>
          <w:tcPr>
            <w:tcW w:w="4682" w:type="dxa"/>
            <w:gridSpan w:val="2"/>
            <w:tcBorders>
              <w:top w:val="single" w:sz="4" w:space="0" w:color="auto"/>
              <w:left w:val="single" w:sz="4" w:space="0" w:color="auto"/>
              <w:bottom w:val="single" w:sz="4" w:space="0" w:color="auto"/>
              <w:right w:val="single" w:sz="4" w:space="0" w:color="auto"/>
            </w:tcBorders>
            <w:vAlign w:val="bottom"/>
          </w:tcPr>
          <w:p w14:paraId="56C752A2" w14:textId="77777777" w:rsidR="00764AE9" w:rsidRPr="00433CF5" w:rsidRDefault="00764AE9" w:rsidP="00764AE9">
            <w:pPr>
              <w:widowControl w:val="0"/>
              <w:shd w:val="clear" w:color="auto" w:fill="FFFFFF"/>
              <w:spacing w:before="4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200, 26.7.2016,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1-136</w:t>
            </w:r>
          </w:p>
          <w:p w14:paraId="48A3767D" w14:textId="37BA059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7" w:tooltip="Gives access to this document through its ELI URI." w:history="1">
              <w:r w:rsidRPr="00433CF5">
                <w:rPr>
                  <w:color w:val="0E47CB"/>
                  <w:sz w:val="20"/>
                  <w:szCs w:val="20"/>
                  <w:u w:val="single"/>
                  <w:shd w:val="clear" w:color="auto" w:fill="FFFFFF"/>
                </w:rPr>
                <w:t>http://data.europa.eu/eli/reg/2016/1191/oj</w:t>
              </w:r>
            </w:hyperlink>
          </w:p>
        </w:tc>
      </w:tr>
      <w:tr w:rsidR="00764AE9" w:rsidRPr="00433CF5" w14:paraId="209922FE" w14:textId="77777777" w:rsidTr="00EC0AFD">
        <w:trPr>
          <w:trHeight w:val="983"/>
          <w:jc w:val="center"/>
        </w:trPr>
        <w:tc>
          <w:tcPr>
            <w:tcW w:w="5379" w:type="dxa"/>
            <w:tcBorders>
              <w:top w:val="single" w:sz="4" w:space="0" w:color="auto"/>
              <w:left w:val="single" w:sz="4" w:space="0" w:color="auto"/>
              <w:bottom w:val="single" w:sz="4" w:space="0" w:color="auto"/>
            </w:tcBorders>
            <w:vAlign w:val="center"/>
          </w:tcPr>
          <w:p w14:paraId="2F23E966" w14:textId="77777777" w:rsidR="00764AE9" w:rsidRPr="00433CF5" w:rsidRDefault="00764AE9" w:rsidP="00764AE9">
            <w:pPr>
              <w:widowControl w:val="0"/>
              <w:shd w:val="clear" w:color="auto" w:fill="FFFFFF"/>
              <w:spacing w:before="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(EU) </w:t>
            </w:r>
            <w:r w:rsidRPr="00433CF5">
              <w:rPr>
                <w:rFonts w:eastAsia="Times New Roman"/>
                <w:b/>
                <w:bCs/>
                <w:color w:val="000000"/>
                <w:sz w:val="20"/>
                <w:szCs w:val="20"/>
                <w:lang w:eastAsia="bg-BG" w:bidi="bg-BG"/>
              </w:rPr>
              <w:t xml:space="preserve">2016/1919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26 </w:t>
            </w:r>
            <w:r w:rsidRPr="00433CF5">
              <w:rPr>
                <w:rFonts w:eastAsia="Times New Roman"/>
                <w:color w:val="000000"/>
                <w:sz w:val="20"/>
                <w:szCs w:val="20"/>
                <w:lang w:eastAsia="hr-HR" w:bidi="hr-HR"/>
              </w:rPr>
              <w:t xml:space="preserve">October </w:t>
            </w:r>
            <w:r w:rsidRPr="00433CF5">
              <w:rPr>
                <w:rFonts w:eastAsia="Times New Roman"/>
                <w:color w:val="000000"/>
                <w:sz w:val="20"/>
                <w:szCs w:val="20"/>
                <w:lang w:eastAsia="bg-BG" w:bidi="bg-BG"/>
              </w:rPr>
              <w:t xml:space="preserve">2016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legal aid for suspects and accused persons in criminal proceedings and for requested persons in European arrest warrant proceedings</w:t>
            </w:r>
          </w:p>
        </w:tc>
        <w:tc>
          <w:tcPr>
            <w:tcW w:w="4682" w:type="dxa"/>
            <w:gridSpan w:val="2"/>
            <w:tcBorders>
              <w:top w:val="single" w:sz="4" w:space="0" w:color="auto"/>
              <w:left w:val="single" w:sz="4" w:space="0" w:color="auto"/>
              <w:bottom w:val="single" w:sz="4" w:space="0" w:color="auto"/>
              <w:right w:val="single" w:sz="4" w:space="0" w:color="auto"/>
            </w:tcBorders>
            <w:vAlign w:val="bottom"/>
          </w:tcPr>
          <w:p w14:paraId="0FBDC1F1"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297, 4.11.2016,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1-8</w:t>
            </w:r>
          </w:p>
          <w:p w14:paraId="7DC5E824"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8" w:tooltip="Gives access to this document through its ELI URI." w:history="1">
              <w:r w:rsidRPr="00433CF5">
                <w:rPr>
                  <w:color w:val="0E47CB"/>
                  <w:sz w:val="20"/>
                  <w:szCs w:val="20"/>
                  <w:u w:val="single"/>
                  <w:shd w:val="clear" w:color="auto" w:fill="FFFFFF"/>
                </w:rPr>
                <w:t>http://data.europa.eu/eli/dir/2016/1919/oj</w:t>
              </w:r>
            </w:hyperlink>
          </w:p>
          <w:p w14:paraId="2C67AE5E" w14:textId="77777777" w:rsidR="00764AE9" w:rsidRPr="00433CF5" w:rsidRDefault="00764AE9" w:rsidP="00764AE9">
            <w:pPr>
              <w:widowControl w:val="0"/>
              <w:shd w:val="clear" w:color="auto" w:fill="FFFFFF"/>
              <w:spacing w:before="0" w:after="0"/>
              <w:ind w:left="80"/>
              <w:jc w:val="center"/>
              <w:rPr>
                <w:rFonts w:eastAsia="Times New Roman"/>
                <w:color w:val="000000"/>
                <w:sz w:val="20"/>
                <w:szCs w:val="20"/>
                <w:lang w:eastAsia="hr-HR" w:bidi="hr-HR"/>
              </w:rPr>
            </w:pPr>
          </w:p>
        </w:tc>
      </w:tr>
      <w:tr w:rsidR="00764AE9" w:rsidRPr="00433CF5" w14:paraId="1C55C609" w14:textId="77777777" w:rsidTr="00EC0AFD">
        <w:trPr>
          <w:trHeight w:val="926"/>
          <w:jc w:val="center"/>
        </w:trPr>
        <w:tc>
          <w:tcPr>
            <w:tcW w:w="5385" w:type="dxa"/>
            <w:gridSpan w:val="2"/>
            <w:tcBorders>
              <w:top w:val="single" w:sz="4" w:space="0" w:color="auto"/>
              <w:left w:val="single" w:sz="4" w:space="0" w:color="auto"/>
            </w:tcBorders>
            <w:vAlign w:val="center"/>
          </w:tcPr>
          <w:p w14:paraId="25D3D22D" w14:textId="7D141D9A"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lastRenderedPageBreak/>
              <w:t xml:space="preserve">Directive (EU) </w:t>
            </w:r>
            <w:r w:rsidRPr="00433CF5">
              <w:rPr>
                <w:rFonts w:eastAsia="Times New Roman"/>
                <w:b/>
                <w:bCs/>
                <w:color w:val="000000"/>
                <w:sz w:val="20"/>
                <w:szCs w:val="20"/>
                <w:lang w:eastAsia="bg-BG" w:bidi="bg-BG"/>
              </w:rPr>
              <w:t xml:space="preserve">2017/541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15 </w:t>
            </w:r>
            <w:r w:rsidRPr="00433CF5">
              <w:rPr>
                <w:rFonts w:eastAsia="Times New Roman"/>
                <w:color w:val="000000"/>
                <w:sz w:val="20"/>
                <w:szCs w:val="20"/>
                <w:lang w:eastAsia="hr-HR" w:bidi="hr-HR"/>
              </w:rPr>
              <w:t xml:space="preserve">March </w:t>
            </w:r>
            <w:r w:rsidRPr="00433CF5">
              <w:rPr>
                <w:rFonts w:eastAsia="Times New Roman"/>
                <w:color w:val="000000"/>
                <w:sz w:val="20"/>
                <w:szCs w:val="20"/>
                <w:lang w:eastAsia="bg-BG" w:bidi="bg-BG"/>
              </w:rPr>
              <w:t xml:space="preserve">2017 </w:t>
            </w:r>
            <w:r w:rsidRPr="00433CF5">
              <w:rPr>
                <w:rFonts w:eastAsia="Times New Roman"/>
                <w:color w:val="000000"/>
                <w:sz w:val="20"/>
                <w:szCs w:val="20"/>
                <w:lang w:eastAsia="hr-HR" w:bidi="hr-HR"/>
              </w:rPr>
              <w:t xml:space="preserve">on </w:t>
            </w:r>
            <w:r w:rsidRPr="00433CF5">
              <w:rPr>
                <w:rFonts w:eastAsia="Times New Roman"/>
                <w:b/>
                <w:bCs/>
                <w:color w:val="000000"/>
                <w:sz w:val="20"/>
                <w:szCs w:val="20"/>
                <w:lang w:eastAsia="hr-HR" w:bidi="hr-HR"/>
              </w:rPr>
              <w:t xml:space="preserve">combating terrorism </w:t>
            </w:r>
            <w:r w:rsidRPr="00433CF5">
              <w:rPr>
                <w:rFonts w:eastAsia="Times New Roman"/>
                <w:color w:val="000000"/>
                <w:sz w:val="20"/>
                <w:szCs w:val="20"/>
                <w:lang w:eastAsia="hr-HR" w:bidi="hr-HR"/>
              </w:rPr>
              <w:t>and replacing Council Framework Decision 2002/475/JHA and amending Council Decision 2005/671/JHA</w:t>
            </w:r>
          </w:p>
        </w:tc>
        <w:tc>
          <w:tcPr>
            <w:tcW w:w="4676" w:type="dxa"/>
            <w:tcBorders>
              <w:top w:val="single" w:sz="4" w:space="0" w:color="auto"/>
              <w:left w:val="single" w:sz="4" w:space="0" w:color="auto"/>
              <w:right w:val="single" w:sz="4" w:space="0" w:color="auto"/>
            </w:tcBorders>
            <w:vAlign w:val="bottom"/>
          </w:tcPr>
          <w:p w14:paraId="07C09655" w14:textId="77777777" w:rsidR="00764AE9" w:rsidRPr="00433CF5" w:rsidRDefault="00764AE9" w:rsidP="00764AE9">
            <w:pPr>
              <w:widowControl w:val="0"/>
              <w:shd w:val="clear" w:color="auto" w:fill="FFFFFF"/>
              <w:spacing w:before="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88, 31.3.2017,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6-21</w:t>
            </w:r>
          </w:p>
          <w:p w14:paraId="4A32DD04" w14:textId="0253F840" w:rsidR="00764AE9" w:rsidRPr="00433CF5" w:rsidRDefault="00764AE9" w:rsidP="00764AE9">
            <w:pPr>
              <w:widowControl w:val="0"/>
              <w:shd w:val="clear" w:color="auto" w:fill="FFFFFF"/>
              <w:spacing w:before="4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39" w:tooltip="Gives access to this document through its ELI URI." w:history="1">
              <w:r w:rsidRPr="00433CF5">
                <w:rPr>
                  <w:color w:val="0E47CB"/>
                  <w:sz w:val="20"/>
                  <w:szCs w:val="20"/>
                  <w:u w:val="single"/>
                  <w:shd w:val="clear" w:color="auto" w:fill="FFFFFF"/>
                </w:rPr>
                <w:t>http://data.europa.eu/eli/dir/2017/541/oj</w:t>
              </w:r>
            </w:hyperlink>
          </w:p>
        </w:tc>
      </w:tr>
      <w:tr w:rsidR="00764AE9" w:rsidRPr="00433CF5" w14:paraId="2D9B4E76" w14:textId="77777777" w:rsidTr="00764AE9">
        <w:trPr>
          <w:trHeight w:hRule="exact" w:val="889"/>
          <w:jc w:val="center"/>
        </w:trPr>
        <w:tc>
          <w:tcPr>
            <w:tcW w:w="5385" w:type="dxa"/>
            <w:gridSpan w:val="2"/>
            <w:tcBorders>
              <w:top w:val="single" w:sz="4" w:space="0" w:color="auto"/>
              <w:left w:val="single" w:sz="4" w:space="0" w:color="auto"/>
              <w:bottom w:val="single" w:sz="4" w:space="0" w:color="auto"/>
            </w:tcBorders>
            <w:vAlign w:val="bottom"/>
          </w:tcPr>
          <w:p w14:paraId="24DCD609" w14:textId="75BF0E97"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Regulation (EU) </w:t>
            </w:r>
            <w:r w:rsidRPr="00433CF5">
              <w:rPr>
                <w:rFonts w:eastAsia="Times New Roman"/>
                <w:b/>
                <w:bCs/>
                <w:color w:val="000000"/>
                <w:sz w:val="20"/>
                <w:szCs w:val="20"/>
                <w:lang w:eastAsia="bg-BG" w:bidi="bg-BG"/>
              </w:rPr>
              <w:t xml:space="preserve">2018/1805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14 </w:t>
            </w:r>
            <w:r w:rsidRPr="00433CF5">
              <w:rPr>
                <w:rFonts w:eastAsia="Times New Roman"/>
                <w:color w:val="000000"/>
                <w:sz w:val="20"/>
                <w:szCs w:val="20"/>
                <w:lang w:eastAsia="hr-HR" w:bidi="hr-HR"/>
              </w:rPr>
              <w:t xml:space="preserve">November </w:t>
            </w:r>
            <w:r w:rsidRPr="00433CF5">
              <w:rPr>
                <w:rFonts w:eastAsia="Times New Roman"/>
                <w:color w:val="000000"/>
                <w:sz w:val="20"/>
                <w:szCs w:val="20"/>
                <w:lang w:eastAsia="bg-BG" w:bidi="bg-BG"/>
              </w:rPr>
              <w:t xml:space="preserve">2018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mutual recognition of freezing orders and confiscation orders</w:t>
            </w:r>
          </w:p>
        </w:tc>
        <w:tc>
          <w:tcPr>
            <w:tcW w:w="4676" w:type="dxa"/>
            <w:tcBorders>
              <w:top w:val="single" w:sz="4" w:space="0" w:color="auto"/>
              <w:left w:val="single" w:sz="4" w:space="0" w:color="auto"/>
              <w:bottom w:val="single" w:sz="4" w:space="0" w:color="auto"/>
              <w:right w:val="single" w:sz="4" w:space="0" w:color="auto"/>
            </w:tcBorders>
            <w:vAlign w:val="center"/>
          </w:tcPr>
          <w:p w14:paraId="2D23F8E3" w14:textId="32BA5225" w:rsidR="00764AE9" w:rsidRPr="00433CF5" w:rsidRDefault="00764AE9" w:rsidP="00764AE9">
            <w:pPr>
              <w:widowControl w:val="0"/>
              <w:shd w:val="clear" w:color="auto" w:fill="FFFFFF"/>
              <w:spacing w:before="40" w:after="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303, 28.11.2018,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1-38</w:t>
            </w:r>
          </w:p>
          <w:p w14:paraId="470BDFF3" w14:textId="22F62615" w:rsidR="00764AE9" w:rsidRPr="00433CF5" w:rsidRDefault="00764AE9" w:rsidP="00764AE9">
            <w:pPr>
              <w:widowControl w:val="0"/>
              <w:shd w:val="clear" w:color="auto" w:fill="FFFFFF"/>
              <w:spacing w:before="40" w:after="0"/>
              <w:ind w:left="80"/>
              <w:jc w:val="center"/>
              <w:rPr>
                <w:rFonts w:eastAsia="Times New Roman"/>
                <w:color w:val="000000"/>
                <w:sz w:val="20"/>
                <w:szCs w:val="20"/>
                <w:lang w:val="en-US" w:eastAsia="hr-HR" w:bidi="hr-HR"/>
              </w:rPr>
            </w:pPr>
            <w:r w:rsidRPr="00433CF5">
              <w:rPr>
                <w:color w:val="333333"/>
                <w:sz w:val="20"/>
                <w:szCs w:val="20"/>
                <w:shd w:val="clear" w:color="auto" w:fill="FFFFFF"/>
              </w:rPr>
              <w:t>ELI: </w:t>
            </w:r>
            <w:hyperlink r:id="rId40" w:tooltip="Gives access to this document through its ELI URI." w:history="1">
              <w:r w:rsidRPr="00433CF5">
                <w:rPr>
                  <w:color w:val="0E47CB"/>
                  <w:sz w:val="20"/>
                  <w:szCs w:val="20"/>
                  <w:u w:val="single"/>
                  <w:shd w:val="clear" w:color="auto" w:fill="FFFFFF"/>
                </w:rPr>
                <w:t>http://data.europa.eu/eli/reg/2018/1805/oj</w:t>
              </w:r>
            </w:hyperlink>
          </w:p>
        </w:tc>
      </w:tr>
      <w:tr w:rsidR="00764AE9" w:rsidRPr="00433CF5" w14:paraId="48D79260" w14:textId="77777777" w:rsidTr="00764AE9">
        <w:trPr>
          <w:trHeight w:hRule="exact" w:val="1013"/>
          <w:jc w:val="center"/>
        </w:trPr>
        <w:tc>
          <w:tcPr>
            <w:tcW w:w="5385" w:type="dxa"/>
            <w:gridSpan w:val="2"/>
            <w:tcBorders>
              <w:top w:val="single" w:sz="4" w:space="0" w:color="auto"/>
              <w:left w:val="single" w:sz="4" w:space="0" w:color="auto"/>
              <w:bottom w:val="single" w:sz="4" w:space="0" w:color="auto"/>
            </w:tcBorders>
            <w:vAlign w:val="center"/>
          </w:tcPr>
          <w:p w14:paraId="6745F4CF" w14:textId="58F70D1F"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Council Regulation (EU) No </w:t>
            </w:r>
            <w:r w:rsidRPr="00433CF5">
              <w:rPr>
                <w:rFonts w:eastAsia="Times New Roman"/>
                <w:b/>
                <w:bCs/>
                <w:color w:val="000000"/>
                <w:sz w:val="20"/>
                <w:szCs w:val="20"/>
                <w:lang w:eastAsia="bg-BG" w:bidi="hr-HR"/>
              </w:rPr>
              <w:t xml:space="preserve">2019/1111 </w:t>
            </w:r>
            <w:r w:rsidRPr="00E00161">
              <w:rPr>
                <w:rFonts w:eastAsia="Times New Roman"/>
                <w:color w:val="000000"/>
                <w:sz w:val="20"/>
                <w:szCs w:val="20"/>
                <w:lang w:eastAsia="bg-BG" w:bidi="hr-HR"/>
              </w:rPr>
              <w:t>of 25 June 2019</w:t>
            </w:r>
            <w:r w:rsidRPr="00433CF5">
              <w:rPr>
                <w:rFonts w:eastAsia="Times New Roman"/>
                <w:b/>
                <w:bCs/>
                <w:color w:val="000000"/>
                <w:sz w:val="20"/>
                <w:szCs w:val="20"/>
                <w:lang w:eastAsia="bg-BG" w:bidi="hr-HR"/>
              </w:rPr>
              <w:t xml:space="preserve"> on jurisdiction, the recognition and enforcement of decisions in matrimonial matters and the matters of parental responsibility, and on international child abduction (recast)</w:t>
            </w:r>
          </w:p>
        </w:tc>
        <w:tc>
          <w:tcPr>
            <w:tcW w:w="4676" w:type="dxa"/>
            <w:tcBorders>
              <w:top w:val="single" w:sz="4" w:space="0" w:color="auto"/>
              <w:left w:val="single" w:sz="4" w:space="0" w:color="auto"/>
              <w:bottom w:val="single" w:sz="4" w:space="0" w:color="auto"/>
              <w:right w:val="single" w:sz="4" w:space="0" w:color="auto"/>
            </w:tcBorders>
            <w:vAlign w:val="bottom"/>
          </w:tcPr>
          <w:p w14:paraId="18BF42E5" w14:textId="77777777" w:rsidR="00764AE9" w:rsidRDefault="00764AE9" w:rsidP="00764AE9">
            <w:pPr>
              <w:widowControl w:val="0"/>
              <w:shd w:val="clear" w:color="auto" w:fill="FFFFFF"/>
              <w:spacing w:before="100" w:beforeAutospacing="1" w:after="100" w:afterAutospacing="1"/>
              <w:ind w:left="80"/>
              <w:jc w:val="center"/>
              <w:rPr>
                <w:rFonts w:eastAsia="Times New Roman"/>
                <w:color w:val="000000"/>
                <w:sz w:val="20"/>
                <w:szCs w:val="20"/>
                <w:lang w:eastAsia="hr-HR" w:bidi="hr-HR"/>
              </w:rPr>
            </w:pPr>
            <w:r w:rsidRPr="00433CF5">
              <w:rPr>
                <w:rFonts w:eastAsia="Times New Roman"/>
                <w:color w:val="000000"/>
                <w:sz w:val="20"/>
                <w:szCs w:val="20"/>
                <w:lang w:eastAsia="hr-HR" w:bidi="hr-HR"/>
              </w:rPr>
              <w:t>OJ L 178, 2.7.2019, p. 1-115</w:t>
            </w:r>
          </w:p>
          <w:p w14:paraId="7C75FC7E" w14:textId="77777777" w:rsidR="00764AE9" w:rsidRPr="00433CF5" w:rsidRDefault="00764AE9" w:rsidP="00764AE9">
            <w:pPr>
              <w:widowControl w:val="0"/>
              <w:shd w:val="clear" w:color="auto" w:fill="FFFFFF"/>
              <w:spacing w:before="100" w:beforeAutospacing="1" w:after="100" w:afterAutospacing="1"/>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41" w:tooltip="Gives access to this document through its ELI URI." w:history="1">
              <w:r w:rsidRPr="00433CF5">
                <w:rPr>
                  <w:color w:val="0E47CB"/>
                  <w:sz w:val="20"/>
                  <w:szCs w:val="20"/>
                  <w:u w:val="single"/>
                  <w:shd w:val="clear" w:color="auto" w:fill="FFFFFF"/>
                </w:rPr>
                <w:t>http://data.europa.eu/eli/reg/2019/1111/oj</w:t>
              </w:r>
            </w:hyperlink>
          </w:p>
          <w:p w14:paraId="01CDA24A" w14:textId="77777777" w:rsidR="00764AE9" w:rsidRPr="00433CF5" w:rsidRDefault="00764AE9" w:rsidP="00764AE9">
            <w:pPr>
              <w:widowControl w:val="0"/>
              <w:shd w:val="clear" w:color="auto" w:fill="FFFFFF"/>
              <w:spacing w:before="40" w:after="0"/>
              <w:ind w:left="80"/>
              <w:jc w:val="center"/>
              <w:rPr>
                <w:rFonts w:eastAsia="Times New Roman"/>
                <w:color w:val="000000"/>
                <w:sz w:val="20"/>
                <w:szCs w:val="20"/>
                <w:lang w:eastAsia="hr-HR" w:bidi="hr-HR"/>
              </w:rPr>
            </w:pPr>
          </w:p>
        </w:tc>
      </w:tr>
      <w:tr w:rsidR="00764AE9" w:rsidRPr="00433CF5" w14:paraId="346E0D07" w14:textId="77777777" w:rsidTr="007F1F8A">
        <w:trPr>
          <w:trHeight w:hRule="exact" w:val="889"/>
          <w:jc w:val="center"/>
        </w:trPr>
        <w:tc>
          <w:tcPr>
            <w:tcW w:w="5385" w:type="dxa"/>
            <w:gridSpan w:val="2"/>
            <w:tcBorders>
              <w:top w:val="single" w:sz="4" w:space="0" w:color="auto"/>
              <w:left w:val="single" w:sz="4" w:space="0" w:color="auto"/>
              <w:bottom w:val="single" w:sz="4" w:space="0" w:color="auto"/>
            </w:tcBorders>
            <w:vAlign w:val="center"/>
          </w:tcPr>
          <w:p w14:paraId="6F8AF1AD" w14:textId="55645B8B" w:rsidR="00764AE9" w:rsidRPr="00433CF5" w:rsidRDefault="00764AE9" w:rsidP="00764AE9">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Directive (EU) </w:t>
            </w:r>
            <w:r w:rsidRPr="00433CF5">
              <w:rPr>
                <w:rFonts w:eastAsia="Times New Roman"/>
                <w:b/>
                <w:bCs/>
                <w:color w:val="000000"/>
                <w:sz w:val="20"/>
                <w:szCs w:val="20"/>
                <w:lang w:eastAsia="bg-BG" w:bidi="bg-BG"/>
              </w:rPr>
              <w:t xml:space="preserve">2019/1937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23 </w:t>
            </w:r>
            <w:r w:rsidRPr="00433CF5">
              <w:rPr>
                <w:rFonts w:eastAsia="Times New Roman"/>
                <w:color w:val="000000"/>
                <w:sz w:val="20"/>
                <w:szCs w:val="20"/>
                <w:lang w:eastAsia="hr-HR" w:bidi="hr-HR"/>
              </w:rPr>
              <w:t xml:space="preserve">October </w:t>
            </w:r>
            <w:r w:rsidRPr="00433CF5">
              <w:rPr>
                <w:rFonts w:eastAsia="Times New Roman"/>
                <w:color w:val="000000"/>
                <w:sz w:val="20"/>
                <w:szCs w:val="20"/>
                <w:lang w:eastAsia="bg-BG" w:bidi="bg-BG"/>
              </w:rPr>
              <w:t xml:space="preserve">2019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protection of persons who report breaches of Union law</w:t>
            </w:r>
          </w:p>
        </w:tc>
        <w:tc>
          <w:tcPr>
            <w:tcW w:w="4676" w:type="dxa"/>
            <w:tcBorders>
              <w:top w:val="single" w:sz="4" w:space="0" w:color="auto"/>
              <w:left w:val="single" w:sz="4" w:space="0" w:color="auto"/>
              <w:bottom w:val="single" w:sz="4" w:space="0" w:color="auto"/>
              <w:right w:val="single" w:sz="4" w:space="0" w:color="auto"/>
            </w:tcBorders>
            <w:vAlign w:val="bottom"/>
          </w:tcPr>
          <w:p w14:paraId="0618C163"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bg-BG" w:bidi="bg-BG"/>
              </w:rPr>
            </w:pPr>
            <w:r w:rsidRPr="00433CF5">
              <w:rPr>
                <w:rFonts w:eastAsia="Times New Roman"/>
                <w:color w:val="000000"/>
                <w:sz w:val="20"/>
                <w:szCs w:val="20"/>
                <w:lang w:eastAsia="hr-HR" w:bidi="hr-HR"/>
              </w:rPr>
              <w:t xml:space="preserve">OJ L </w:t>
            </w:r>
            <w:r w:rsidRPr="00433CF5">
              <w:rPr>
                <w:rFonts w:eastAsia="Times New Roman"/>
                <w:color w:val="000000"/>
                <w:sz w:val="20"/>
                <w:szCs w:val="20"/>
                <w:lang w:eastAsia="bg-BG" w:bidi="bg-BG"/>
              </w:rPr>
              <w:t xml:space="preserve">305, 26.11.2019, </w:t>
            </w:r>
            <w:r w:rsidRPr="00433CF5">
              <w:rPr>
                <w:rFonts w:eastAsia="Times New Roman"/>
                <w:color w:val="000000"/>
                <w:sz w:val="20"/>
                <w:szCs w:val="20"/>
                <w:lang w:eastAsia="hr-HR" w:bidi="hr-HR"/>
              </w:rPr>
              <w:t>p. </w:t>
            </w:r>
            <w:r w:rsidRPr="00433CF5">
              <w:rPr>
                <w:rFonts w:eastAsia="Times New Roman"/>
                <w:color w:val="000000"/>
                <w:sz w:val="20"/>
                <w:szCs w:val="20"/>
                <w:lang w:eastAsia="bg-BG" w:bidi="bg-BG"/>
              </w:rPr>
              <w:t>17-56</w:t>
            </w:r>
          </w:p>
          <w:p w14:paraId="7EBF96ED" w14:textId="77777777" w:rsidR="00764AE9" w:rsidRPr="00433CF5" w:rsidRDefault="00764AE9" w:rsidP="00764AE9">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42" w:tooltip="Gives access to this document through its ELI URI." w:history="1">
              <w:r w:rsidRPr="00433CF5">
                <w:rPr>
                  <w:color w:val="0E47CB"/>
                  <w:sz w:val="20"/>
                  <w:szCs w:val="20"/>
                  <w:u w:val="single"/>
                  <w:shd w:val="clear" w:color="auto" w:fill="FFFFFF"/>
                </w:rPr>
                <w:t>http://data.europa.eu/eli/dir/2019/1937/oj</w:t>
              </w:r>
            </w:hyperlink>
          </w:p>
          <w:p w14:paraId="40666CF0" w14:textId="77777777" w:rsidR="00764AE9" w:rsidRPr="00433CF5" w:rsidRDefault="00764AE9" w:rsidP="00764AE9">
            <w:pPr>
              <w:widowControl w:val="0"/>
              <w:shd w:val="clear" w:color="auto" w:fill="FFFFFF"/>
              <w:spacing w:before="40" w:after="0"/>
              <w:ind w:left="80"/>
              <w:jc w:val="center"/>
              <w:rPr>
                <w:rFonts w:eastAsia="Times New Roman"/>
                <w:color w:val="000000"/>
                <w:sz w:val="20"/>
                <w:szCs w:val="20"/>
                <w:lang w:eastAsia="hr-HR" w:bidi="hr-HR"/>
              </w:rPr>
            </w:pPr>
          </w:p>
        </w:tc>
      </w:tr>
      <w:tr w:rsidR="0075442B" w:rsidRPr="00433CF5" w14:paraId="161A088B" w14:textId="77777777" w:rsidTr="0075442B">
        <w:trPr>
          <w:trHeight w:hRule="exact" w:val="968"/>
          <w:jc w:val="center"/>
        </w:trPr>
        <w:tc>
          <w:tcPr>
            <w:tcW w:w="5385" w:type="dxa"/>
            <w:gridSpan w:val="2"/>
            <w:tcBorders>
              <w:top w:val="single" w:sz="4" w:space="0" w:color="auto"/>
              <w:left w:val="single" w:sz="4" w:space="0" w:color="auto"/>
              <w:bottom w:val="single" w:sz="4" w:space="0" w:color="auto"/>
            </w:tcBorders>
            <w:vAlign w:val="center"/>
          </w:tcPr>
          <w:p w14:paraId="20B799D9" w14:textId="582BF95A" w:rsidR="0075442B" w:rsidRPr="00433CF5" w:rsidRDefault="0075442B" w:rsidP="0075442B">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bg-BG" w:bidi="bg-BG"/>
              </w:rPr>
              <w:t xml:space="preserve">Regulation (EU) </w:t>
            </w:r>
            <w:r w:rsidRPr="00433CF5">
              <w:rPr>
                <w:rFonts w:eastAsia="Times New Roman"/>
                <w:b/>
                <w:bCs/>
                <w:color w:val="000000"/>
                <w:sz w:val="20"/>
                <w:szCs w:val="20"/>
                <w:lang w:eastAsia="bg-BG" w:bidi="bg-BG"/>
              </w:rPr>
              <w:t>2023/1543</w:t>
            </w:r>
            <w:r w:rsidRPr="00433CF5">
              <w:rPr>
                <w:rFonts w:eastAsia="Times New Roman"/>
                <w:color w:val="000000"/>
                <w:sz w:val="20"/>
                <w:szCs w:val="20"/>
                <w:lang w:eastAsia="bg-BG" w:bidi="bg-BG"/>
              </w:rPr>
              <w:t xml:space="preserve"> of the European Parliament and of the Council of 12 July 2023 </w:t>
            </w:r>
            <w:r w:rsidRPr="00433CF5">
              <w:rPr>
                <w:rFonts w:eastAsia="Times New Roman"/>
                <w:b/>
                <w:bCs/>
                <w:color w:val="000000"/>
                <w:sz w:val="20"/>
                <w:szCs w:val="20"/>
                <w:lang w:eastAsia="bg-BG" w:bidi="bg-BG"/>
              </w:rPr>
              <w:t>on European Production Orders and European Preservation Orders for electronic evidence in criminal proceedings</w:t>
            </w:r>
            <w:r w:rsidRPr="00433CF5">
              <w:rPr>
                <w:rFonts w:eastAsia="Times New Roman"/>
                <w:color w:val="000000"/>
                <w:sz w:val="20"/>
                <w:szCs w:val="20"/>
                <w:lang w:eastAsia="bg-BG" w:bidi="bg-BG"/>
              </w:rPr>
              <w:t xml:space="preserve"> and for the </w:t>
            </w:r>
            <w:r w:rsidRPr="00433CF5">
              <w:rPr>
                <w:rFonts w:eastAsia="Times New Roman"/>
                <w:b/>
                <w:bCs/>
                <w:color w:val="000000"/>
                <w:sz w:val="20"/>
                <w:szCs w:val="20"/>
                <w:lang w:eastAsia="bg-BG" w:bidi="bg-BG"/>
              </w:rPr>
              <w:t>execution of custodial sentences</w:t>
            </w:r>
            <w:r w:rsidRPr="00433CF5">
              <w:rPr>
                <w:rFonts w:eastAsia="Times New Roman"/>
                <w:color w:val="000000"/>
                <w:sz w:val="20"/>
                <w:szCs w:val="20"/>
                <w:lang w:eastAsia="bg-BG" w:bidi="bg-BG"/>
              </w:rPr>
              <w:t xml:space="preserve"> following criminal proceedings</w:t>
            </w:r>
          </w:p>
        </w:tc>
        <w:tc>
          <w:tcPr>
            <w:tcW w:w="4676" w:type="dxa"/>
            <w:tcBorders>
              <w:top w:val="single" w:sz="4" w:space="0" w:color="auto"/>
              <w:left w:val="single" w:sz="4" w:space="0" w:color="auto"/>
              <w:bottom w:val="single" w:sz="4" w:space="0" w:color="auto"/>
              <w:right w:val="single" w:sz="4" w:space="0" w:color="auto"/>
            </w:tcBorders>
          </w:tcPr>
          <w:p w14:paraId="2A09C83D" w14:textId="77777777" w:rsidR="0075442B" w:rsidRPr="0075442B" w:rsidRDefault="0075442B" w:rsidP="0075442B">
            <w:pPr>
              <w:widowControl w:val="0"/>
              <w:shd w:val="clear" w:color="auto" w:fill="FFFFFF"/>
              <w:spacing w:before="0" w:after="0"/>
              <w:ind w:left="80"/>
              <w:jc w:val="center"/>
              <w:rPr>
                <w:rFonts w:eastAsia="Times New Roman"/>
                <w:sz w:val="20"/>
                <w:szCs w:val="20"/>
                <w:lang w:val="en-US" w:eastAsia="hr-HR" w:bidi="hr-HR"/>
              </w:rPr>
            </w:pPr>
            <w:r w:rsidRPr="0075442B">
              <w:rPr>
                <w:rFonts w:eastAsia="Times New Roman"/>
                <w:sz w:val="20"/>
                <w:szCs w:val="20"/>
                <w:lang w:val="en-US" w:eastAsia="hr-HR" w:bidi="hr-HR"/>
              </w:rPr>
              <w:t>OJ L 191, 28.7.2023, p. 118-180</w:t>
            </w:r>
          </w:p>
          <w:p w14:paraId="3E95DBB2" w14:textId="54539E21" w:rsidR="0075442B" w:rsidRPr="00433CF5" w:rsidRDefault="0075442B" w:rsidP="0075442B">
            <w:pPr>
              <w:widowControl w:val="0"/>
              <w:shd w:val="clear" w:color="auto" w:fill="FFFFFF"/>
              <w:spacing w:before="0"/>
              <w:ind w:left="80"/>
              <w:jc w:val="center"/>
              <w:rPr>
                <w:rFonts w:eastAsia="Times New Roman"/>
                <w:color w:val="000000"/>
                <w:sz w:val="20"/>
                <w:szCs w:val="20"/>
                <w:lang w:eastAsia="hr-HR" w:bidi="hr-HR"/>
              </w:rPr>
            </w:pPr>
            <w:r w:rsidRPr="0075442B">
              <w:rPr>
                <w:color w:val="333333"/>
                <w:sz w:val="20"/>
                <w:szCs w:val="20"/>
                <w:shd w:val="clear" w:color="auto" w:fill="FFFFFF"/>
                <w:lang w:val="en-US"/>
              </w:rPr>
              <w:t>ELI: </w:t>
            </w:r>
            <w:hyperlink r:id="rId43" w:history="1">
              <w:r w:rsidRPr="0075442B">
                <w:rPr>
                  <w:rStyle w:val="Hyperlink"/>
                  <w:sz w:val="20"/>
                  <w:szCs w:val="20"/>
                  <w:shd w:val="clear" w:color="auto" w:fill="FFFFFF"/>
                  <w:lang w:val="en-US"/>
                </w:rPr>
                <w:t>http://datauropa.eu/eli/reg/2023/1543/oj</w:t>
              </w:r>
            </w:hyperlink>
          </w:p>
        </w:tc>
      </w:tr>
      <w:tr w:rsidR="0075442B" w:rsidRPr="00433CF5" w14:paraId="6CE2427C" w14:textId="77777777" w:rsidTr="0075442B">
        <w:trPr>
          <w:trHeight w:hRule="exact" w:val="1280"/>
          <w:jc w:val="center"/>
        </w:trPr>
        <w:tc>
          <w:tcPr>
            <w:tcW w:w="5385" w:type="dxa"/>
            <w:gridSpan w:val="2"/>
            <w:tcBorders>
              <w:top w:val="single" w:sz="4" w:space="0" w:color="auto"/>
              <w:left w:val="single" w:sz="4" w:space="0" w:color="auto"/>
              <w:bottom w:val="single" w:sz="4" w:space="0" w:color="auto"/>
            </w:tcBorders>
            <w:vAlign w:val="center"/>
          </w:tcPr>
          <w:p w14:paraId="303D3C0B" w14:textId="26E64D41" w:rsidR="0075442B" w:rsidRPr="00433CF5" w:rsidRDefault="0075442B" w:rsidP="0075442B">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bg-BG"/>
              </w:rPr>
              <w:t xml:space="preserve">Directive (EU) </w:t>
            </w:r>
            <w:r w:rsidRPr="00433CF5">
              <w:rPr>
                <w:rFonts w:eastAsia="Times New Roman"/>
                <w:b/>
                <w:bCs/>
                <w:color w:val="000000"/>
                <w:sz w:val="20"/>
                <w:szCs w:val="20"/>
                <w:lang w:eastAsia="hr-HR" w:bidi="bg-BG"/>
              </w:rPr>
              <w:t>2023/1544</w:t>
            </w:r>
            <w:r w:rsidRPr="00433CF5">
              <w:rPr>
                <w:rFonts w:eastAsia="Times New Roman"/>
                <w:color w:val="000000"/>
                <w:sz w:val="20"/>
                <w:szCs w:val="20"/>
                <w:lang w:eastAsia="hr-HR" w:bidi="bg-BG"/>
              </w:rPr>
              <w:t xml:space="preserve"> of the European Parliament and of the Council of 12 July 2023 laying down </w:t>
            </w:r>
            <w:r w:rsidRPr="00433CF5">
              <w:rPr>
                <w:rFonts w:eastAsia="Times New Roman"/>
                <w:b/>
                <w:bCs/>
                <w:color w:val="000000"/>
                <w:sz w:val="20"/>
                <w:szCs w:val="20"/>
                <w:lang w:eastAsia="hr-HR" w:bidi="bg-BG"/>
              </w:rPr>
              <w:t>harmonised rules on the designation of designated establishments and the appointment of legal representatives</w:t>
            </w:r>
            <w:r w:rsidRPr="00433CF5">
              <w:rPr>
                <w:rFonts w:eastAsia="Times New Roman"/>
                <w:color w:val="000000"/>
                <w:sz w:val="20"/>
                <w:szCs w:val="20"/>
                <w:lang w:eastAsia="hr-HR" w:bidi="bg-BG"/>
              </w:rPr>
              <w:t xml:space="preserve"> for the purpose of </w:t>
            </w:r>
            <w:r w:rsidRPr="00433CF5">
              <w:rPr>
                <w:rFonts w:eastAsia="Times New Roman"/>
                <w:b/>
                <w:bCs/>
                <w:color w:val="000000"/>
                <w:sz w:val="20"/>
                <w:szCs w:val="20"/>
                <w:lang w:eastAsia="hr-HR" w:bidi="bg-BG"/>
              </w:rPr>
              <w:t>gathering electronic evidence in criminal proceedings</w:t>
            </w:r>
          </w:p>
        </w:tc>
        <w:tc>
          <w:tcPr>
            <w:tcW w:w="4676" w:type="dxa"/>
            <w:tcBorders>
              <w:top w:val="single" w:sz="4" w:space="0" w:color="auto"/>
              <w:left w:val="single" w:sz="4" w:space="0" w:color="auto"/>
              <w:bottom w:val="single" w:sz="4" w:space="0" w:color="auto"/>
              <w:right w:val="single" w:sz="4" w:space="0" w:color="auto"/>
            </w:tcBorders>
          </w:tcPr>
          <w:p w14:paraId="6C2E745A" w14:textId="77777777" w:rsidR="0075442B" w:rsidRPr="0075442B" w:rsidRDefault="0075442B" w:rsidP="0075442B">
            <w:pPr>
              <w:widowControl w:val="0"/>
              <w:shd w:val="clear" w:color="auto" w:fill="FFFFFF"/>
              <w:spacing w:before="0" w:after="0"/>
              <w:ind w:left="80"/>
              <w:jc w:val="center"/>
              <w:rPr>
                <w:rFonts w:eastAsia="Times New Roman"/>
                <w:sz w:val="20"/>
                <w:szCs w:val="20"/>
                <w:lang w:val="en-US" w:eastAsia="hr-HR" w:bidi="hr-HR"/>
              </w:rPr>
            </w:pPr>
            <w:r w:rsidRPr="0075442B">
              <w:rPr>
                <w:rFonts w:eastAsia="Times New Roman"/>
                <w:sz w:val="20"/>
                <w:szCs w:val="20"/>
                <w:lang w:val="en-US" w:eastAsia="hr-HR" w:bidi="hr-HR"/>
              </w:rPr>
              <w:t>OJ L 191, 28.7.2023, p. 181-190</w:t>
            </w:r>
          </w:p>
          <w:p w14:paraId="4D32944F" w14:textId="77777777" w:rsidR="0075442B" w:rsidRPr="0075442B" w:rsidRDefault="0075442B" w:rsidP="0075442B">
            <w:pPr>
              <w:shd w:val="clear" w:color="auto" w:fill="FFFFFF"/>
              <w:spacing w:before="0" w:after="75"/>
              <w:jc w:val="center"/>
              <w:rPr>
                <w:rFonts w:eastAsia="Times New Roman"/>
                <w:color w:val="333333"/>
                <w:sz w:val="20"/>
                <w:szCs w:val="20"/>
                <w:lang w:val="en-US"/>
              </w:rPr>
            </w:pPr>
            <w:r w:rsidRPr="0075442B">
              <w:rPr>
                <w:rFonts w:eastAsia="Times New Roman"/>
                <w:color w:val="333333"/>
                <w:sz w:val="20"/>
                <w:szCs w:val="20"/>
                <w:lang w:val="en-US"/>
              </w:rPr>
              <w:t>ELI: </w:t>
            </w:r>
            <w:hyperlink r:id="rId44" w:tooltip="Gives access to this document through its ELI URI." w:history="1">
              <w:r w:rsidRPr="0075442B">
                <w:rPr>
                  <w:rFonts w:eastAsia="Times New Roman"/>
                  <w:color w:val="0E47CB"/>
                  <w:sz w:val="20"/>
                  <w:szCs w:val="20"/>
                  <w:u w:val="single"/>
                  <w:lang w:val="en-US"/>
                </w:rPr>
                <w:t>http://data.europa.eu/eli/dir/2023/1544/oj</w:t>
              </w:r>
            </w:hyperlink>
          </w:p>
          <w:p w14:paraId="38353941" w14:textId="77777777" w:rsidR="0075442B" w:rsidRPr="00433CF5" w:rsidRDefault="0075442B" w:rsidP="0075442B">
            <w:pPr>
              <w:widowControl w:val="0"/>
              <w:shd w:val="clear" w:color="auto" w:fill="FFFFFF"/>
              <w:spacing w:before="0"/>
              <w:ind w:left="80"/>
              <w:jc w:val="center"/>
              <w:rPr>
                <w:rFonts w:eastAsia="Times New Roman"/>
                <w:color w:val="000000"/>
                <w:sz w:val="20"/>
                <w:szCs w:val="20"/>
                <w:lang w:eastAsia="hr-HR" w:bidi="hr-HR"/>
              </w:rPr>
            </w:pPr>
          </w:p>
        </w:tc>
      </w:tr>
      <w:tr w:rsidR="0075442B" w:rsidRPr="00433CF5" w14:paraId="2C057A1E" w14:textId="77777777" w:rsidTr="0075442B">
        <w:trPr>
          <w:trHeight w:hRule="exact" w:val="983"/>
          <w:jc w:val="center"/>
        </w:trPr>
        <w:tc>
          <w:tcPr>
            <w:tcW w:w="5385" w:type="dxa"/>
            <w:gridSpan w:val="2"/>
            <w:tcBorders>
              <w:top w:val="single" w:sz="4" w:space="0" w:color="auto"/>
              <w:left w:val="single" w:sz="4" w:space="0" w:color="auto"/>
              <w:bottom w:val="single" w:sz="4" w:space="0" w:color="auto"/>
            </w:tcBorders>
            <w:vAlign w:val="center"/>
          </w:tcPr>
          <w:p w14:paraId="7F4C8EC4" w14:textId="28707F08" w:rsidR="0075442B" w:rsidRPr="00433CF5" w:rsidRDefault="0075442B" w:rsidP="0075442B">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color w:val="000000"/>
                <w:sz w:val="20"/>
                <w:szCs w:val="20"/>
                <w:lang w:eastAsia="hr-HR" w:bidi="hr-HR"/>
              </w:rPr>
              <w:t xml:space="preserve">Regulation (EU) </w:t>
            </w:r>
            <w:r w:rsidRPr="00433CF5">
              <w:rPr>
                <w:rFonts w:eastAsia="Times New Roman"/>
                <w:b/>
                <w:bCs/>
                <w:color w:val="000000"/>
                <w:sz w:val="20"/>
                <w:szCs w:val="20"/>
                <w:lang w:eastAsia="bg-BG" w:bidi="bg-BG"/>
              </w:rPr>
              <w:t xml:space="preserve">2023/2844 </w:t>
            </w:r>
            <w:r w:rsidRPr="00433CF5">
              <w:rPr>
                <w:rFonts w:eastAsia="Times New Roman"/>
                <w:color w:val="000000"/>
                <w:sz w:val="20"/>
                <w:szCs w:val="20"/>
                <w:lang w:eastAsia="hr-HR" w:bidi="hr-HR"/>
              </w:rPr>
              <w:t xml:space="preserve">of the European Parliament and of the Council of </w:t>
            </w:r>
            <w:r w:rsidRPr="00433CF5">
              <w:rPr>
                <w:rFonts w:eastAsia="Times New Roman"/>
                <w:color w:val="000000"/>
                <w:sz w:val="20"/>
                <w:szCs w:val="20"/>
                <w:lang w:eastAsia="bg-BG" w:bidi="bg-BG"/>
              </w:rPr>
              <w:t>13 </w:t>
            </w:r>
            <w:r w:rsidRPr="00433CF5">
              <w:rPr>
                <w:rFonts w:eastAsia="Times New Roman"/>
                <w:color w:val="000000"/>
                <w:sz w:val="20"/>
                <w:szCs w:val="20"/>
                <w:lang w:eastAsia="hr-HR" w:bidi="hr-HR"/>
              </w:rPr>
              <w:t xml:space="preserve">December </w:t>
            </w:r>
            <w:r w:rsidRPr="00433CF5">
              <w:rPr>
                <w:rFonts w:eastAsia="Times New Roman"/>
                <w:color w:val="000000"/>
                <w:sz w:val="20"/>
                <w:szCs w:val="20"/>
                <w:lang w:eastAsia="bg-BG" w:bidi="bg-BG"/>
              </w:rPr>
              <w:t xml:space="preserve">2023 </w:t>
            </w:r>
            <w:r w:rsidRPr="00433CF5">
              <w:rPr>
                <w:rFonts w:eastAsia="Times New Roman"/>
                <w:color w:val="000000"/>
                <w:sz w:val="20"/>
                <w:szCs w:val="20"/>
                <w:lang w:eastAsia="hr-HR" w:bidi="hr-HR"/>
              </w:rPr>
              <w:t xml:space="preserve">on the </w:t>
            </w:r>
            <w:r w:rsidRPr="00433CF5">
              <w:rPr>
                <w:rFonts w:eastAsia="Times New Roman"/>
                <w:b/>
                <w:bCs/>
                <w:color w:val="000000"/>
                <w:sz w:val="20"/>
                <w:szCs w:val="20"/>
                <w:lang w:eastAsia="hr-HR" w:bidi="hr-HR"/>
              </w:rPr>
              <w:t>digitalisation of judicial cooperation and access to justice in cross-border civil, commercial and criminal matters, and amending certain acts in the field of judicial cooperation</w:t>
            </w:r>
          </w:p>
        </w:tc>
        <w:tc>
          <w:tcPr>
            <w:tcW w:w="4676" w:type="dxa"/>
            <w:tcBorders>
              <w:top w:val="single" w:sz="4" w:space="0" w:color="auto"/>
              <w:left w:val="single" w:sz="4" w:space="0" w:color="auto"/>
              <w:bottom w:val="single" w:sz="4" w:space="0" w:color="auto"/>
              <w:right w:val="single" w:sz="4" w:space="0" w:color="auto"/>
            </w:tcBorders>
            <w:vAlign w:val="bottom"/>
          </w:tcPr>
          <w:p w14:paraId="7EC611B2" w14:textId="77777777" w:rsidR="0075442B" w:rsidRPr="00764AE9" w:rsidRDefault="0075442B" w:rsidP="0075442B">
            <w:pPr>
              <w:widowControl w:val="0"/>
              <w:shd w:val="clear" w:color="auto" w:fill="FFFFFF"/>
              <w:spacing w:before="0"/>
              <w:ind w:left="80"/>
              <w:jc w:val="center"/>
              <w:rPr>
                <w:rFonts w:eastAsia="Times New Roman"/>
                <w:color w:val="000000"/>
                <w:sz w:val="20"/>
                <w:szCs w:val="20"/>
                <w:lang w:val="en-US" w:eastAsia="hr-HR" w:bidi="hr-HR"/>
              </w:rPr>
            </w:pPr>
            <w:r w:rsidRPr="00764AE9">
              <w:rPr>
                <w:rFonts w:eastAsia="Times New Roman"/>
                <w:color w:val="000000"/>
                <w:sz w:val="20"/>
                <w:szCs w:val="20"/>
                <w:lang w:val="en-US" w:eastAsia="hr-HR" w:bidi="hr-HR"/>
              </w:rPr>
              <w:t xml:space="preserve">OJ L, </w:t>
            </w:r>
            <w:r w:rsidRPr="00764AE9">
              <w:rPr>
                <w:rFonts w:eastAsia="Times New Roman"/>
                <w:color w:val="000000"/>
                <w:sz w:val="20"/>
                <w:szCs w:val="20"/>
                <w:lang w:val="en-US" w:eastAsia="bg-BG" w:bidi="bg-BG"/>
              </w:rPr>
              <w:t>2023/2844, 27.12.2023</w:t>
            </w:r>
          </w:p>
          <w:p w14:paraId="0FA1D7EC" w14:textId="77777777" w:rsidR="0075442B" w:rsidRPr="00764AE9" w:rsidRDefault="0075442B" w:rsidP="0075442B">
            <w:pPr>
              <w:shd w:val="clear" w:color="auto" w:fill="FFFFFF"/>
              <w:spacing w:before="0" w:after="75"/>
              <w:jc w:val="center"/>
              <w:rPr>
                <w:rFonts w:eastAsia="Times New Roman"/>
                <w:color w:val="333333"/>
                <w:sz w:val="20"/>
                <w:szCs w:val="20"/>
                <w:lang w:val="en-US"/>
              </w:rPr>
            </w:pPr>
            <w:r w:rsidRPr="00764AE9">
              <w:rPr>
                <w:rFonts w:eastAsia="Times New Roman"/>
                <w:color w:val="333333"/>
                <w:sz w:val="20"/>
                <w:szCs w:val="20"/>
                <w:lang w:val="en-US"/>
              </w:rPr>
              <w:t>ELI: </w:t>
            </w:r>
            <w:hyperlink r:id="rId45" w:tooltip="Gives access to this document through its ELI URI." w:history="1">
              <w:r w:rsidRPr="00764AE9">
                <w:rPr>
                  <w:rFonts w:eastAsia="Times New Roman"/>
                  <w:color w:val="0E47CB"/>
                  <w:sz w:val="20"/>
                  <w:szCs w:val="20"/>
                  <w:u w:val="single"/>
                  <w:lang w:val="en-US"/>
                </w:rPr>
                <w:t>http://data.europa.eu/eli/reg/2023/2844/oj</w:t>
              </w:r>
            </w:hyperlink>
          </w:p>
          <w:p w14:paraId="370DEB37" w14:textId="77777777" w:rsidR="0075442B" w:rsidRPr="00433CF5" w:rsidRDefault="0075442B" w:rsidP="0075442B">
            <w:pPr>
              <w:widowControl w:val="0"/>
              <w:shd w:val="clear" w:color="auto" w:fill="FFFFFF"/>
              <w:spacing w:before="0"/>
              <w:ind w:left="80"/>
              <w:jc w:val="center"/>
              <w:rPr>
                <w:rFonts w:eastAsia="Times New Roman"/>
                <w:color w:val="000000"/>
                <w:sz w:val="20"/>
                <w:szCs w:val="20"/>
                <w:lang w:eastAsia="hr-HR" w:bidi="hr-HR"/>
              </w:rPr>
            </w:pPr>
          </w:p>
        </w:tc>
      </w:tr>
      <w:tr w:rsidR="0075442B" w:rsidRPr="00433CF5" w14:paraId="27FCAD4E" w14:textId="77777777" w:rsidTr="0075442B">
        <w:trPr>
          <w:trHeight w:hRule="exact" w:val="996"/>
          <w:jc w:val="center"/>
        </w:trPr>
        <w:tc>
          <w:tcPr>
            <w:tcW w:w="5385" w:type="dxa"/>
            <w:gridSpan w:val="2"/>
            <w:tcBorders>
              <w:top w:val="single" w:sz="4" w:space="0" w:color="auto"/>
              <w:left w:val="single" w:sz="4" w:space="0" w:color="auto"/>
              <w:bottom w:val="single" w:sz="4" w:space="0" w:color="auto"/>
            </w:tcBorders>
            <w:vAlign w:val="center"/>
          </w:tcPr>
          <w:p w14:paraId="4F50669F" w14:textId="4EE52EC2" w:rsidR="0075442B" w:rsidRPr="00433CF5" w:rsidRDefault="0075442B" w:rsidP="0075442B">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sz w:val="20"/>
                <w:szCs w:val="20"/>
                <w:lang w:eastAsia="hr-HR" w:bidi="hr-HR"/>
              </w:rPr>
              <w:t xml:space="preserve">Directive (EU) </w:t>
            </w:r>
            <w:r w:rsidRPr="00433CF5">
              <w:rPr>
                <w:rFonts w:eastAsia="Times New Roman"/>
                <w:b/>
                <w:bCs/>
                <w:sz w:val="20"/>
                <w:szCs w:val="20"/>
                <w:lang w:eastAsia="hr-HR" w:bidi="hr-HR"/>
              </w:rPr>
              <w:t>2024/1203</w:t>
            </w:r>
            <w:r w:rsidRPr="00433CF5">
              <w:rPr>
                <w:rFonts w:eastAsia="Times New Roman"/>
                <w:sz w:val="20"/>
                <w:szCs w:val="20"/>
                <w:lang w:eastAsia="hr-HR" w:bidi="hr-HR"/>
              </w:rPr>
              <w:t xml:space="preserve"> of the European Parliament and of the Council of 11 April 2024 </w:t>
            </w:r>
            <w:r w:rsidRPr="00433CF5">
              <w:rPr>
                <w:rFonts w:eastAsia="Times New Roman"/>
                <w:b/>
                <w:bCs/>
                <w:sz w:val="20"/>
                <w:szCs w:val="20"/>
                <w:lang w:eastAsia="hr-HR" w:bidi="hr-HR"/>
              </w:rPr>
              <w:t>on the protection of the environment through criminal law</w:t>
            </w:r>
            <w:r w:rsidRPr="00433CF5">
              <w:rPr>
                <w:rFonts w:eastAsia="Times New Roman"/>
                <w:sz w:val="20"/>
                <w:szCs w:val="20"/>
                <w:lang w:eastAsia="hr-HR" w:bidi="hr-HR"/>
              </w:rPr>
              <w:t xml:space="preserve"> and replacing Directives 2008/99/EC and 2009/123/EC</w:t>
            </w:r>
          </w:p>
        </w:tc>
        <w:tc>
          <w:tcPr>
            <w:tcW w:w="4676" w:type="dxa"/>
            <w:tcBorders>
              <w:top w:val="single" w:sz="4" w:space="0" w:color="auto"/>
              <w:left w:val="single" w:sz="4" w:space="0" w:color="auto"/>
              <w:bottom w:val="single" w:sz="4" w:space="0" w:color="auto"/>
              <w:right w:val="single" w:sz="4" w:space="0" w:color="auto"/>
            </w:tcBorders>
          </w:tcPr>
          <w:p w14:paraId="493FA0E4" w14:textId="77777777" w:rsidR="0075442B" w:rsidRPr="00433CF5" w:rsidRDefault="0075442B" w:rsidP="0075442B">
            <w:pPr>
              <w:widowControl w:val="0"/>
              <w:shd w:val="clear" w:color="auto" w:fill="FFFFFF"/>
              <w:spacing w:before="0" w:after="0"/>
              <w:ind w:left="80"/>
              <w:jc w:val="center"/>
              <w:rPr>
                <w:rFonts w:eastAsia="Times New Roman"/>
                <w:sz w:val="20"/>
                <w:szCs w:val="20"/>
                <w:lang w:eastAsia="hr-HR" w:bidi="hr-HR"/>
              </w:rPr>
            </w:pPr>
            <w:r w:rsidRPr="00433CF5">
              <w:rPr>
                <w:rFonts w:eastAsia="Times New Roman"/>
                <w:sz w:val="20"/>
                <w:szCs w:val="20"/>
                <w:lang w:eastAsia="hr-HR" w:bidi="hr-HR"/>
              </w:rPr>
              <w:t>OJ L, 2024/1203, 30.4.2024</w:t>
            </w:r>
          </w:p>
          <w:p w14:paraId="5A7DD261" w14:textId="290C318E" w:rsidR="0075442B" w:rsidRPr="00433CF5" w:rsidRDefault="0075442B" w:rsidP="0075442B">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46" w:tooltip="Gives access to this document through its ELI URI." w:history="1">
              <w:r w:rsidRPr="00433CF5">
                <w:rPr>
                  <w:color w:val="0E47CB"/>
                  <w:sz w:val="20"/>
                  <w:szCs w:val="20"/>
                  <w:u w:val="single"/>
                  <w:shd w:val="clear" w:color="auto" w:fill="FFFFFF"/>
                </w:rPr>
                <w:t>http://data.europa.eu/eli/dir/2024/1203/oj</w:t>
              </w:r>
            </w:hyperlink>
          </w:p>
        </w:tc>
      </w:tr>
      <w:tr w:rsidR="0075442B" w:rsidRPr="00433CF5" w14:paraId="022DA93E" w14:textId="77777777" w:rsidTr="0075442B">
        <w:trPr>
          <w:trHeight w:hRule="exact" w:val="996"/>
          <w:jc w:val="center"/>
        </w:trPr>
        <w:tc>
          <w:tcPr>
            <w:tcW w:w="5385" w:type="dxa"/>
            <w:gridSpan w:val="2"/>
            <w:tcBorders>
              <w:top w:val="single" w:sz="4" w:space="0" w:color="auto"/>
              <w:left w:val="single" w:sz="4" w:space="0" w:color="auto"/>
              <w:bottom w:val="single" w:sz="4" w:space="0" w:color="auto"/>
            </w:tcBorders>
            <w:vAlign w:val="center"/>
          </w:tcPr>
          <w:p w14:paraId="26B52D9A" w14:textId="53D5EF8C" w:rsidR="0075442B" w:rsidRPr="00433CF5" w:rsidRDefault="0075442B" w:rsidP="0075442B">
            <w:pPr>
              <w:widowControl w:val="0"/>
              <w:shd w:val="clear" w:color="auto" w:fill="FFFFFF"/>
              <w:spacing w:before="0" w:after="0"/>
              <w:ind w:left="40" w:right="40"/>
              <w:rPr>
                <w:rFonts w:eastAsia="Times New Roman"/>
                <w:color w:val="000000"/>
                <w:sz w:val="20"/>
                <w:szCs w:val="20"/>
                <w:lang w:eastAsia="hr-HR" w:bidi="hr-HR"/>
              </w:rPr>
            </w:pPr>
            <w:r w:rsidRPr="00433CF5">
              <w:rPr>
                <w:color w:val="333333"/>
                <w:sz w:val="20"/>
                <w:szCs w:val="20"/>
                <w:shd w:val="clear" w:color="auto" w:fill="FFFFFF"/>
              </w:rPr>
              <w:t xml:space="preserve">Directive (EU) </w:t>
            </w:r>
            <w:r w:rsidRPr="00433CF5">
              <w:rPr>
                <w:b/>
                <w:bCs/>
                <w:color w:val="333333"/>
                <w:sz w:val="20"/>
                <w:szCs w:val="20"/>
                <w:shd w:val="clear" w:color="auto" w:fill="FFFFFF"/>
              </w:rPr>
              <w:t>2024/1226</w:t>
            </w:r>
            <w:r w:rsidRPr="00433CF5">
              <w:rPr>
                <w:color w:val="333333"/>
                <w:sz w:val="20"/>
                <w:szCs w:val="20"/>
                <w:shd w:val="clear" w:color="auto" w:fill="FFFFFF"/>
              </w:rPr>
              <w:t xml:space="preserve"> of the European Parliament and of the Council of 24 April 2024 </w:t>
            </w:r>
            <w:r w:rsidRPr="00433CF5">
              <w:rPr>
                <w:b/>
                <w:bCs/>
                <w:color w:val="333333"/>
                <w:sz w:val="20"/>
                <w:szCs w:val="20"/>
                <w:shd w:val="clear" w:color="auto" w:fill="FFFFFF"/>
              </w:rPr>
              <w:t>on the</w:t>
            </w:r>
            <w:r w:rsidRPr="00433CF5">
              <w:rPr>
                <w:color w:val="333333"/>
                <w:sz w:val="20"/>
                <w:szCs w:val="20"/>
                <w:shd w:val="clear" w:color="auto" w:fill="FFFFFF"/>
              </w:rPr>
              <w:t xml:space="preserve"> </w:t>
            </w:r>
            <w:r w:rsidRPr="00433CF5">
              <w:rPr>
                <w:b/>
                <w:bCs/>
                <w:color w:val="333333"/>
                <w:sz w:val="20"/>
                <w:szCs w:val="20"/>
                <w:shd w:val="clear" w:color="auto" w:fill="FFFFFF"/>
              </w:rPr>
              <w:t>definition of criminal offences and penalties for the violation of Union restrictive measures</w:t>
            </w:r>
            <w:r w:rsidRPr="00433CF5">
              <w:rPr>
                <w:color w:val="333333"/>
                <w:sz w:val="20"/>
                <w:szCs w:val="20"/>
                <w:shd w:val="clear" w:color="auto" w:fill="FFFFFF"/>
              </w:rPr>
              <w:t xml:space="preserve"> and amending Directive (EU) 2018/1673</w:t>
            </w:r>
          </w:p>
        </w:tc>
        <w:tc>
          <w:tcPr>
            <w:tcW w:w="4676" w:type="dxa"/>
            <w:tcBorders>
              <w:top w:val="single" w:sz="4" w:space="0" w:color="auto"/>
              <w:left w:val="single" w:sz="4" w:space="0" w:color="auto"/>
              <w:bottom w:val="single" w:sz="4" w:space="0" w:color="auto"/>
              <w:right w:val="single" w:sz="4" w:space="0" w:color="auto"/>
            </w:tcBorders>
          </w:tcPr>
          <w:p w14:paraId="5153BB54" w14:textId="77777777" w:rsidR="0075442B" w:rsidRPr="00433CF5" w:rsidRDefault="0075442B" w:rsidP="0075442B">
            <w:pPr>
              <w:widowControl w:val="0"/>
              <w:shd w:val="clear" w:color="auto" w:fill="FFFFFF"/>
              <w:spacing w:before="0" w:after="0"/>
              <w:ind w:left="80"/>
              <w:jc w:val="center"/>
              <w:rPr>
                <w:rStyle w:val="Emphasis"/>
                <w:color w:val="333333"/>
                <w:sz w:val="20"/>
                <w:szCs w:val="20"/>
                <w:shd w:val="clear" w:color="auto" w:fill="FFFFFF"/>
              </w:rPr>
            </w:pPr>
          </w:p>
          <w:p w14:paraId="14466DD2" w14:textId="77777777" w:rsidR="0075442B" w:rsidRPr="00433CF5" w:rsidRDefault="0075442B" w:rsidP="0075442B">
            <w:pPr>
              <w:widowControl w:val="0"/>
              <w:shd w:val="clear" w:color="auto" w:fill="FFFFFF"/>
              <w:spacing w:before="0" w:after="0"/>
              <w:ind w:left="80"/>
              <w:jc w:val="center"/>
              <w:rPr>
                <w:rStyle w:val="Emphasis"/>
                <w:i w:val="0"/>
                <w:iCs w:val="0"/>
                <w:color w:val="333333"/>
                <w:sz w:val="20"/>
                <w:szCs w:val="20"/>
                <w:shd w:val="clear" w:color="auto" w:fill="FFFFFF"/>
              </w:rPr>
            </w:pPr>
            <w:r w:rsidRPr="00433CF5">
              <w:rPr>
                <w:rStyle w:val="Emphasis"/>
                <w:i w:val="0"/>
                <w:iCs w:val="0"/>
                <w:color w:val="333333"/>
                <w:sz w:val="20"/>
                <w:szCs w:val="20"/>
                <w:shd w:val="clear" w:color="auto" w:fill="FFFFFF"/>
              </w:rPr>
              <w:t>OJ L, 2024/1226, 29.4.2024</w:t>
            </w:r>
          </w:p>
          <w:p w14:paraId="0FA32E23" w14:textId="6CEFBEC5" w:rsidR="0075442B" w:rsidRPr="00433CF5" w:rsidRDefault="0075442B" w:rsidP="0075442B">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47" w:tgtFrame="_blank" w:tooltip="Gives access to this document through its ELI URI." w:history="1">
              <w:r w:rsidRPr="00433CF5">
                <w:rPr>
                  <w:color w:val="0E47CB"/>
                  <w:sz w:val="20"/>
                  <w:szCs w:val="20"/>
                  <w:u w:val="single"/>
                </w:rPr>
                <w:t>http://data.europa.eu/eli/dir/2024/1226/oj</w:t>
              </w:r>
            </w:hyperlink>
          </w:p>
        </w:tc>
      </w:tr>
      <w:tr w:rsidR="0075442B" w:rsidRPr="00433CF5" w14:paraId="5F7B4B7D" w14:textId="77777777" w:rsidTr="007F1F8A">
        <w:trPr>
          <w:trHeight w:hRule="exact" w:val="889"/>
          <w:jc w:val="center"/>
        </w:trPr>
        <w:tc>
          <w:tcPr>
            <w:tcW w:w="5385" w:type="dxa"/>
            <w:gridSpan w:val="2"/>
            <w:tcBorders>
              <w:top w:val="single" w:sz="4" w:space="0" w:color="auto"/>
              <w:left w:val="single" w:sz="4" w:space="0" w:color="auto"/>
              <w:bottom w:val="single" w:sz="4" w:space="0" w:color="auto"/>
            </w:tcBorders>
            <w:vAlign w:val="center"/>
          </w:tcPr>
          <w:p w14:paraId="27074667" w14:textId="44766F39" w:rsidR="0075442B" w:rsidRPr="00433CF5" w:rsidRDefault="0075442B" w:rsidP="0075442B">
            <w:pPr>
              <w:widowControl w:val="0"/>
              <w:shd w:val="clear" w:color="auto" w:fill="FFFFFF"/>
              <w:spacing w:before="0" w:after="0"/>
              <w:ind w:left="40" w:right="40"/>
              <w:rPr>
                <w:rFonts w:eastAsia="Times New Roman"/>
                <w:color w:val="000000"/>
                <w:sz w:val="20"/>
                <w:szCs w:val="20"/>
                <w:lang w:eastAsia="hr-HR" w:bidi="hr-HR"/>
              </w:rPr>
            </w:pPr>
            <w:r w:rsidRPr="00433CF5">
              <w:rPr>
                <w:rFonts w:eastAsia="Times New Roman"/>
                <w:sz w:val="20"/>
                <w:szCs w:val="20"/>
                <w:lang w:eastAsia="hr-HR" w:bidi="hr-HR"/>
              </w:rPr>
              <w:t xml:space="preserve">Regulation (EU) </w:t>
            </w:r>
            <w:r w:rsidRPr="00433CF5">
              <w:rPr>
                <w:rFonts w:eastAsia="Times New Roman"/>
                <w:b/>
                <w:bCs/>
                <w:sz w:val="20"/>
                <w:szCs w:val="20"/>
                <w:lang w:eastAsia="hr-HR" w:bidi="hr-HR"/>
              </w:rPr>
              <w:t>2024/3011</w:t>
            </w:r>
            <w:r w:rsidRPr="00433CF5">
              <w:rPr>
                <w:rFonts w:eastAsia="Times New Roman"/>
                <w:sz w:val="20"/>
                <w:szCs w:val="20"/>
                <w:lang w:eastAsia="hr-HR" w:bidi="hr-HR"/>
              </w:rPr>
              <w:t xml:space="preserve"> of the European Parliament and of the Council of 27 November 2024 on the </w:t>
            </w:r>
            <w:r w:rsidRPr="00433CF5">
              <w:rPr>
                <w:rFonts w:eastAsia="Times New Roman"/>
                <w:b/>
                <w:bCs/>
                <w:sz w:val="20"/>
                <w:szCs w:val="20"/>
                <w:lang w:eastAsia="hr-HR" w:bidi="hr-HR"/>
              </w:rPr>
              <w:t>transfer of proceedings in criminal matters</w:t>
            </w:r>
          </w:p>
        </w:tc>
        <w:tc>
          <w:tcPr>
            <w:tcW w:w="4676" w:type="dxa"/>
            <w:tcBorders>
              <w:top w:val="single" w:sz="4" w:space="0" w:color="auto"/>
              <w:left w:val="single" w:sz="4" w:space="0" w:color="auto"/>
              <w:bottom w:val="single" w:sz="4" w:space="0" w:color="auto"/>
              <w:right w:val="single" w:sz="4" w:space="0" w:color="auto"/>
            </w:tcBorders>
          </w:tcPr>
          <w:p w14:paraId="0E95A7AA" w14:textId="77777777" w:rsidR="0075442B" w:rsidRPr="00433CF5" w:rsidRDefault="0075442B" w:rsidP="0075442B">
            <w:pPr>
              <w:widowControl w:val="0"/>
              <w:shd w:val="clear" w:color="auto" w:fill="FFFFFF"/>
              <w:spacing w:before="0" w:after="0"/>
              <w:ind w:left="80"/>
              <w:jc w:val="center"/>
              <w:rPr>
                <w:rFonts w:eastAsia="Times New Roman"/>
                <w:sz w:val="20"/>
                <w:szCs w:val="20"/>
                <w:lang w:eastAsia="hr-HR" w:bidi="hr-HR"/>
              </w:rPr>
            </w:pPr>
            <w:r w:rsidRPr="00433CF5">
              <w:rPr>
                <w:rFonts w:eastAsia="Times New Roman"/>
                <w:sz w:val="20"/>
                <w:szCs w:val="20"/>
                <w:lang w:eastAsia="hr-HR" w:bidi="hr-HR"/>
              </w:rPr>
              <w:t>OJ L, 2024/3011, 18.12.2024</w:t>
            </w:r>
          </w:p>
          <w:p w14:paraId="5D24952A" w14:textId="1E4DE2F3" w:rsidR="0075442B" w:rsidRPr="00433CF5" w:rsidRDefault="0075442B" w:rsidP="0075442B">
            <w:pPr>
              <w:widowControl w:val="0"/>
              <w:shd w:val="clear" w:color="auto" w:fill="FFFFFF"/>
              <w:spacing w:before="0"/>
              <w:ind w:left="80"/>
              <w:jc w:val="center"/>
              <w:rPr>
                <w:rFonts w:eastAsia="Times New Roman"/>
                <w:color w:val="000000"/>
                <w:sz w:val="20"/>
                <w:szCs w:val="20"/>
                <w:lang w:eastAsia="hr-HR" w:bidi="hr-HR"/>
              </w:rPr>
            </w:pPr>
            <w:r w:rsidRPr="00433CF5">
              <w:rPr>
                <w:color w:val="333333"/>
                <w:sz w:val="20"/>
                <w:szCs w:val="20"/>
                <w:shd w:val="clear" w:color="auto" w:fill="FFFFFF"/>
              </w:rPr>
              <w:t>ELI: </w:t>
            </w:r>
            <w:hyperlink r:id="rId48" w:tooltip="Gives access to this document through its ELI URI." w:history="1">
              <w:r w:rsidRPr="00433CF5">
                <w:rPr>
                  <w:color w:val="0E47CB"/>
                  <w:sz w:val="20"/>
                  <w:szCs w:val="20"/>
                  <w:u w:val="single"/>
                  <w:shd w:val="clear" w:color="auto" w:fill="FFFFFF"/>
                </w:rPr>
                <w:t>http://data.europa.eu/eli/reg/2024/3011/oj</w:t>
              </w:r>
            </w:hyperlink>
          </w:p>
        </w:tc>
      </w:tr>
    </w:tbl>
    <w:p w14:paraId="354DE23A" w14:textId="3A0464DF" w:rsidR="00905D22" w:rsidRPr="00764AE9" w:rsidRDefault="00905D22" w:rsidP="0075442B">
      <w:pPr>
        <w:widowControl w:val="0"/>
        <w:shd w:val="clear" w:color="auto" w:fill="FFFFFF"/>
        <w:spacing w:before="0" w:after="0" w:line="1" w:lineRule="exact"/>
        <w:rPr>
          <w:sz w:val="20"/>
          <w:szCs w:val="20"/>
          <w:lang w:val="en-US"/>
        </w:rPr>
      </w:pPr>
    </w:p>
    <w:sectPr w:rsidR="00905D22" w:rsidRPr="00764AE9" w:rsidSect="00302C2E">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DB99" w14:textId="77777777" w:rsidR="007F1F8A" w:rsidRPr="00876122" w:rsidRDefault="007F1F8A" w:rsidP="00F47FDE">
      <w:pPr>
        <w:spacing w:before="0" w:after="0"/>
      </w:pPr>
      <w:r w:rsidRPr="00876122">
        <w:separator/>
      </w:r>
    </w:p>
  </w:endnote>
  <w:endnote w:type="continuationSeparator" w:id="0">
    <w:p w14:paraId="0F8296F7" w14:textId="77777777" w:rsidR="007F1F8A" w:rsidRPr="00876122" w:rsidRDefault="007F1F8A" w:rsidP="00F47FDE">
      <w:pPr>
        <w:spacing w:before="0" w:after="0"/>
      </w:pPr>
      <w:r w:rsidRPr="00876122">
        <w:continuationSeparator/>
      </w:r>
    </w:p>
  </w:endnote>
  <w:endnote w:type="continuationNotice" w:id="1">
    <w:p w14:paraId="5D6605FE" w14:textId="77777777" w:rsidR="007F1F8A" w:rsidRDefault="007F1F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4588" w14:textId="221B4A62" w:rsidR="007F1F8A" w:rsidRPr="00302C2E" w:rsidRDefault="007F1F8A" w:rsidP="00302C2E">
    <w:pPr>
      <w:pStyle w:val="Footer"/>
      <w:rPr>
        <w:rFonts w:ascii="Arial" w:hAnsi="Arial" w:cs="Arial"/>
        <w:b/>
        <w:sz w:val="48"/>
      </w:rPr>
    </w:pPr>
    <w:r w:rsidRPr="00302C2E">
      <w:rPr>
        <w:rFonts w:ascii="Arial" w:hAnsi="Arial" w:cs="Arial"/>
        <w:b/>
        <w:sz w:val="48"/>
      </w:rPr>
      <w:t>EN</w:t>
    </w:r>
    <w:r w:rsidRPr="00302C2E">
      <w:rPr>
        <w:rFonts w:ascii="Arial" w:hAnsi="Arial" w:cs="Arial"/>
        <w:b/>
        <w:sz w:val="48"/>
      </w:rPr>
      <w:tab/>
    </w:r>
    <w:r w:rsidRPr="00302C2E">
      <w:rPr>
        <w:rFonts w:ascii="Arial" w:hAnsi="Arial" w:cs="Arial"/>
        <w:b/>
        <w:sz w:val="48"/>
      </w:rPr>
      <w:tab/>
    </w:r>
    <w:r w:rsidRPr="00302C2E">
      <w:tab/>
    </w:r>
    <w:r w:rsidRPr="00302C2E">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E7E0" w14:textId="50E87727" w:rsidR="007F1F8A" w:rsidRPr="00302C2E" w:rsidRDefault="007F1F8A" w:rsidP="00302C2E">
    <w:pPr>
      <w:pStyle w:val="Footer"/>
      <w:rPr>
        <w:rFonts w:ascii="Arial" w:hAnsi="Arial" w:cs="Arial"/>
        <w:b/>
        <w:sz w:val="48"/>
      </w:rPr>
    </w:pPr>
    <w:r w:rsidRPr="00302C2E">
      <w:rPr>
        <w:rFonts w:ascii="Arial" w:hAnsi="Arial" w:cs="Arial"/>
        <w:b/>
        <w:sz w:val="48"/>
      </w:rPr>
      <w:t>EN</w:t>
    </w:r>
    <w:r w:rsidRPr="00302C2E">
      <w:rPr>
        <w:rFonts w:ascii="Arial" w:hAnsi="Arial" w:cs="Arial"/>
        <w:b/>
        <w:sz w:val="48"/>
      </w:rPr>
      <w:tab/>
    </w:r>
    <w:r w:rsidRPr="00302C2E">
      <w:rPr>
        <w:rFonts w:ascii="Arial" w:hAnsi="Arial" w:cs="Arial"/>
        <w:b/>
        <w:sz w:val="48"/>
      </w:rPr>
      <w:tab/>
    </w:r>
    <w:r w:rsidRPr="00302C2E">
      <w:tab/>
    </w:r>
    <w:r w:rsidRPr="00302C2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68E6" w14:textId="59168C96" w:rsidR="007F1F8A" w:rsidRPr="00302C2E" w:rsidRDefault="007F1F8A" w:rsidP="00302C2E">
    <w:pPr>
      <w:pStyle w:val="Footer"/>
      <w:rPr>
        <w:rFonts w:ascii="Arial" w:hAnsi="Arial" w:cs="Arial"/>
        <w:b/>
        <w:sz w:val="48"/>
      </w:rPr>
    </w:pPr>
    <w:r w:rsidRPr="00302C2E">
      <w:rPr>
        <w:rFonts w:ascii="Arial" w:hAnsi="Arial" w:cs="Arial"/>
        <w:b/>
        <w:sz w:val="48"/>
      </w:rPr>
      <w:t>EN</w:t>
    </w:r>
    <w:r w:rsidRPr="00302C2E">
      <w:rPr>
        <w:rFonts w:ascii="Arial" w:hAnsi="Arial" w:cs="Arial"/>
        <w:b/>
        <w:sz w:val="48"/>
      </w:rPr>
      <w:tab/>
    </w:r>
    <w:r>
      <w:fldChar w:fldCharType="begin"/>
    </w:r>
    <w:r>
      <w:instrText xml:space="preserve"> PAGE  \* MERGEFORMAT </w:instrText>
    </w:r>
    <w:r>
      <w:fldChar w:fldCharType="separate"/>
    </w:r>
    <w:r w:rsidR="008A2ECB">
      <w:rPr>
        <w:noProof/>
      </w:rPr>
      <w:t>3</w:t>
    </w:r>
    <w:r>
      <w:fldChar w:fldCharType="end"/>
    </w:r>
    <w:r>
      <w:tab/>
    </w:r>
    <w:r w:rsidRPr="00302C2E">
      <w:tab/>
    </w:r>
    <w:r w:rsidRPr="00302C2E">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28C7" w14:textId="77777777" w:rsidR="007F1F8A" w:rsidRPr="00876122" w:rsidRDefault="007F1F8A" w:rsidP="00F47FDE">
      <w:pPr>
        <w:spacing w:before="0" w:after="0"/>
      </w:pPr>
      <w:r w:rsidRPr="00876122">
        <w:separator/>
      </w:r>
    </w:p>
  </w:footnote>
  <w:footnote w:type="continuationSeparator" w:id="0">
    <w:p w14:paraId="6C7AC9C5" w14:textId="77777777" w:rsidR="007F1F8A" w:rsidRPr="00876122" w:rsidRDefault="007F1F8A" w:rsidP="00F47FDE">
      <w:pPr>
        <w:spacing w:before="0" w:after="0"/>
      </w:pPr>
      <w:r w:rsidRPr="00876122">
        <w:continuationSeparator/>
      </w:r>
    </w:p>
  </w:footnote>
  <w:footnote w:type="continuationNotice" w:id="1">
    <w:p w14:paraId="10F412AA" w14:textId="77777777" w:rsidR="007F1F8A" w:rsidRDefault="007F1F8A">
      <w:pPr>
        <w:spacing w:before="0" w:after="0"/>
      </w:pPr>
    </w:p>
  </w:footnote>
  <w:footnote w:id="2">
    <w:p w14:paraId="019D5691" w14:textId="4BC1BDC8"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rPr>
        <w:footnoteRef/>
      </w:r>
      <w:r>
        <w:rPr>
          <w:rStyle w:val="Footnote1"/>
          <w:rFonts w:ascii="Times New Roman" w:hAnsi="Times New Roman" w:cs="Times New Roman"/>
          <w:sz w:val="16"/>
          <w:szCs w:val="16"/>
          <w:lang w:val="en-GB" w:eastAsia="bg-BG" w:bidi="bg-BG"/>
        </w:rPr>
        <w:t xml:space="preserve"> </w:t>
      </w:r>
      <w:r w:rsidRPr="00AC6E44">
        <w:rPr>
          <w:rStyle w:val="Footnote1"/>
          <w:rFonts w:ascii="Times New Roman" w:hAnsi="Times New Roman" w:cs="Times New Roman"/>
          <w:sz w:val="16"/>
          <w:szCs w:val="16"/>
          <w:lang w:val="en-GB"/>
        </w:rPr>
        <w:t xml:space="preserve">Regulation (EU) </w:t>
      </w:r>
      <w:r w:rsidRPr="00AC6E44">
        <w:rPr>
          <w:rStyle w:val="Footnote1"/>
          <w:rFonts w:ascii="Times New Roman" w:hAnsi="Times New Roman" w:cs="Times New Roman"/>
          <w:sz w:val="16"/>
          <w:szCs w:val="16"/>
          <w:lang w:val="en-GB" w:eastAsia="bg-BG" w:bidi="bg-BG"/>
        </w:rPr>
        <w:t xml:space="preserve">2021/693 </w:t>
      </w:r>
      <w:r w:rsidRPr="00AC6E44">
        <w:rPr>
          <w:rStyle w:val="Footnote1"/>
          <w:rFonts w:ascii="Times New Roman" w:hAnsi="Times New Roman" w:cs="Times New Roman"/>
          <w:sz w:val="16"/>
          <w:szCs w:val="16"/>
          <w:lang w:val="en-GB"/>
        </w:rPr>
        <w:t xml:space="preserve">of the European Parliament and of the Council of </w:t>
      </w:r>
      <w:r w:rsidRPr="00AC6E44">
        <w:rPr>
          <w:rStyle w:val="Footnote1"/>
          <w:rFonts w:ascii="Times New Roman" w:hAnsi="Times New Roman" w:cs="Times New Roman"/>
          <w:sz w:val="16"/>
          <w:szCs w:val="16"/>
          <w:lang w:val="en-GB" w:eastAsia="bg-BG" w:bidi="bg-BG"/>
        </w:rPr>
        <w:t>28 </w:t>
      </w:r>
      <w:r w:rsidRPr="00AC6E44">
        <w:rPr>
          <w:rStyle w:val="Footnote1"/>
          <w:rFonts w:ascii="Times New Roman" w:hAnsi="Times New Roman" w:cs="Times New Roman"/>
          <w:sz w:val="16"/>
          <w:szCs w:val="16"/>
          <w:lang w:val="en-GB"/>
        </w:rPr>
        <w:t xml:space="preserve">April </w:t>
      </w:r>
      <w:r w:rsidRPr="00AC6E44">
        <w:rPr>
          <w:rStyle w:val="Footnote1"/>
          <w:rFonts w:ascii="Times New Roman" w:hAnsi="Times New Roman" w:cs="Times New Roman"/>
          <w:sz w:val="16"/>
          <w:szCs w:val="16"/>
          <w:lang w:val="en-GB" w:eastAsia="bg-BG" w:bidi="bg-BG"/>
        </w:rPr>
        <w:t xml:space="preserve">2021 </w:t>
      </w:r>
      <w:r w:rsidRPr="00AC6E44">
        <w:rPr>
          <w:rStyle w:val="Footnote1"/>
          <w:rFonts w:ascii="Times New Roman" w:hAnsi="Times New Roman" w:cs="Times New Roman"/>
          <w:sz w:val="16"/>
          <w:szCs w:val="16"/>
          <w:lang w:val="en-GB"/>
        </w:rPr>
        <w:t xml:space="preserve">establishing the Justice </w:t>
      </w:r>
      <w:r>
        <w:rPr>
          <w:rStyle w:val="Footnote1"/>
          <w:rFonts w:ascii="Times New Roman" w:hAnsi="Times New Roman" w:cs="Times New Roman"/>
          <w:sz w:val="16"/>
          <w:szCs w:val="16"/>
          <w:lang w:val="en-GB"/>
        </w:rPr>
        <w:t>p</w:t>
      </w:r>
      <w:r w:rsidRPr="00AC6E44">
        <w:rPr>
          <w:rStyle w:val="Footnote1"/>
          <w:rFonts w:ascii="Times New Roman" w:hAnsi="Times New Roman" w:cs="Times New Roman"/>
          <w:sz w:val="16"/>
          <w:szCs w:val="16"/>
          <w:lang w:val="en-GB"/>
        </w:rPr>
        <w:t>rogramme and repealing Regulation (EU) No </w:t>
      </w:r>
      <w:r w:rsidRPr="00AC6E44">
        <w:rPr>
          <w:rStyle w:val="Footnote1"/>
          <w:rFonts w:ascii="Times New Roman" w:hAnsi="Times New Roman" w:cs="Times New Roman"/>
          <w:sz w:val="16"/>
          <w:szCs w:val="16"/>
          <w:lang w:val="en-GB" w:eastAsia="bg-BG" w:bidi="bg-BG"/>
        </w:rPr>
        <w:t>1382/2013</w:t>
      </w:r>
      <w:r w:rsidRPr="00AC6E44">
        <w:rPr>
          <w:rFonts w:ascii="Times New Roman" w:hAnsi="Times New Roman" w:cs="Times New Roman"/>
          <w:sz w:val="16"/>
          <w:szCs w:val="16"/>
          <w:lang w:val="en-GB" w:eastAsia="bg-BG" w:bidi="bg-BG"/>
        </w:rPr>
        <w:t>, OJ L 156, 5.5.2021, pp. 21–38, ELI: </w:t>
      </w:r>
      <w:hyperlink r:id="rId1" w:tooltip="Gives access to this document through its ELI URI." w:history="1">
        <w:r w:rsidRPr="00AC6E44">
          <w:rPr>
            <w:rStyle w:val="Hyperlink"/>
            <w:rFonts w:ascii="Times New Roman" w:hAnsi="Times New Roman" w:cs="Times New Roman"/>
            <w:color w:val="auto"/>
            <w:sz w:val="16"/>
            <w:szCs w:val="16"/>
            <w:lang w:val="en-GB" w:eastAsia="bg-BG" w:bidi="bg-BG"/>
          </w:rPr>
          <w:t>http://data.europa.eu/eli/reg/2021/693/oj</w:t>
        </w:r>
      </w:hyperlink>
      <w:r w:rsidRPr="00AC6E44">
        <w:rPr>
          <w:rStyle w:val="Footnote1"/>
          <w:rFonts w:ascii="Times New Roman" w:hAnsi="Times New Roman" w:cs="Times New Roman"/>
          <w:sz w:val="16"/>
          <w:szCs w:val="16"/>
          <w:lang w:val="en-GB" w:eastAsia="bg-BG" w:bidi="bg-BG"/>
        </w:rPr>
        <w:t>.</w:t>
      </w:r>
    </w:p>
  </w:footnote>
  <w:footnote w:id="3">
    <w:p w14:paraId="03C8A20C" w14:textId="2C230D5E" w:rsidR="007F1F8A" w:rsidRPr="00AC6E44" w:rsidRDefault="007F1F8A" w:rsidP="00EB3203">
      <w:pPr>
        <w:pStyle w:val="Footnote10"/>
        <w:contextualSpacing/>
        <w:mirrorIndents/>
        <w:jc w:val="both"/>
        <w:rPr>
          <w:rFonts w:ascii="Times New Roman" w:hAnsi="Times New Roman" w:cs="Times New Roman"/>
          <w:sz w:val="16"/>
          <w:szCs w:val="16"/>
        </w:rPr>
      </w:pPr>
      <w:r w:rsidRPr="00AC6E44">
        <w:rPr>
          <w:rStyle w:val="FootnoteReference"/>
          <w:rFonts w:ascii="Times New Roman" w:hAnsi="Times New Roman" w:cs="Times New Roman"/>
          <w:sz w:val="16"/>
          <w:szCs w:val="16"/>
        </w:rPr>
        <w:footnoteRef/>
      </w:r>
      <w:r>
        <w:rPr>
          <w:rFonts w:ascii="Times New Roman" w:hAnsi="Times New Roman" w:cs="Times New Roman"/>
          <w:sz w:val="16"/>
          <w:szCs w:val="16"/>
          <w:lang w:val="en-GB"/>
        </w:rPr>
        <w:t xml:space="preserve"> </w:t>
      </w:r>
      <w:hyperlink r:id="rId2" w:history="1">
        <w:r w:rsidRPr="00AC6E44">
          <w:rPr>
            <w:rStyle w:val="Hyperlink"/>
            <w:rFonts w:ascii="Times New Roman" w:hAnsi="Times New Roman" w:cs="Times New Roman"/>
            <w:color w:val="auto"/>
            <w:sz w:val="16"/>
            <w:szCs w:val="16"/>
            <w:lang w:val="en-GB"/>
          </w:rPr>
          <w:t>Political guidelines for the next European Commission 2024-2029</w:t>
        </w:r>
      </w:hyperlink>
      <w:r w:rsidRPr="00AC6E44">
        <w:rPr>
          <w:rStyle w:val="Footnote1"/>
          <w:rFonts w:ascii="Times New Roman" w:hAnsi="Times New Roman" w:cs="Times New Roman"/>
          <w:sz w:val="16"/>
          <w:szCs w:val="16"/>
          <w:lang w:eastAsia="bg-BG" w:bidi="bg-BG"/>
        </w:rPr>
        <w:t xml:space="preserve">. </w:t>
      </w:r>
    </w:p>
  </w:footnote>
  <w:footnote w:id="4">
    <w:p w14:paraId="0838B296" w14:textId="6F353F2B"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Pr>
          <w:sz w:val="16"/>
          <w:szCs w:val="16"/>
        </w:rPr>
        <w:t xml:space="preserve"> </w:t>
      </w:r>
      <w:hyperlink r:id="rId3" w:history="1">
        <w:r w:rsidRPr="00AC6E44">
          <w:rPr>
            <w:rStyle w:val="Hyperlink"/>
            <w:color w:val="auto"/>
            <w:sz w:val="16"/>
            <w:szCs w:val="16"/>
            <w:lang w:val="en-US"/>
          </w:rPr>
          <w:t>Annual Rule of Law Cycle</w:t>
        </w:r>
      </w:hyperlink>
      <w:r w:rsidRPr="00AC6E44">
        <w:rPr>
          <w:sz w:val="16"/>
          <w:szCs w:val="16"/>
          <w:lang w:val="en-US"/>
        </w:rPr>
        <w:t>.</w:t>
      </w:r>
    </w:p>
  </w:footnote>
  <w:footnote w:id="5">
    <w:p w14:paraId="19DD4646" w14:textId="03D43D60" w:rsidR="007F1F8A" w:rsidRPr="00AC6E44" w:rsidRDefault="007F1F8A" w:rsidP="00EB3203">
      <w:pPr>
        <w:pStyle w:val="Heading1"/>
        <w:numPr>
          <w:ilvl w:val="0"/>
          <w:numId w:val="0"/>
        </w:numPr>
        <w:spacing w:before="0" w:after="0"/>
        <w:contextualSpacing/>
        <w:mirrorIndents/>
        <w:rPr>
          <w:rFonts w:eastAsia="Times New Roman"/>
          <w:b w:val="0"/>
          <w:bCs w:val="0"/>
          <w:smallCaps w:val="0"/>
          <w:kern w:val="36"/>
          <w:sz w:val="16"/>
          <w:szCs w:val="16"/>
          <w:lang w:val="en-US"/>
        </w:rPr>
      </w:pPr>
      <w:r w:rsidRPr="00AC6E44">
        <w:rPr>
          <w:rStyle w:val="FootnoteReference"/>
          <w:b w:val="0"/>
          <w:bCs w:val="0"/>
          <w:sz w:val="16"/>
          <w:szCs w:val="16"/>
        </w:rPr>
        <w:footnoteRef/>
      </w:r>
      <w:r>
        <w:rPr>
          <w:b w:val="0"/>
          <w:bCs w:val="0"/>
          <w:sz w:val="16"/>
          <w:szCs w:val="16"/>
        </w:rPr>
        <w:t xml:space="preserve"> </w:t>
      </w:r>
      <w:hyperlink r:id="rId4" w:history="1">
        <w:r w:rsidRPr="00AC6E44">
          <w:rPr>
            <w:rStyle w:val="Hyperlink"/>
            <w:rFonts w:eastAsia="Times New Roman"/>
            <w:b w:val="0"/>
            <w:bCs w:val="0"/>
            <w:smallCaps w:val="0"/>
            <w:color w:val="auto"/>
            <w:kern w:val="36"/>
            <w:sz w:val="16"/>
            <w:szCs w:val="16"/>
            <w:lang w:val="en-US"/>
          </w:rPr>
          <w:t>2024 Rule of Law Report</w:t>
        </w:r>
      </w:hyperlink>
      <w:r w:rsidRPr="00AC6E44">
        <w:rPr>
          <w:rFonts w:eastAsia="Times New Roman"/>
          <w:b w:val="0"/>
          <w:bCs w:val="0"/>
          <w:smallCaps w:val="0"/>
          <w:kern w:val="36"/>
          <w:sz w:val="16"/>
          <w:szCs w:val="16"/>
          <w:lang w:val="en-US"/>
        </w:rPr>
        <w:t>.</w:t>
      </w:r>
    </w:p>
  </w:footnote>
  <w:footnote w:id="6">
    <w:p w14:paraId="707D8A52" w14:textId="2970634B" w:rsidR="007F1F8A" w:rsidRPr="00AC6E44" w:rsidRDefault="007F1F8A" w:rsidP="00EB3203">
      <w:pPr>
        <w:pStyle w:val="Footnote10"/>
        <w:contextualSpacing/>
        <w:mirrorIndents/>
        <w:jc w:val="both"/>
        <w:rPr>
          <w:rFonts w:ascii="Times New Roman" w:hAnsi="Times New Roman" w:cs="Times New Roman"/>
          <w:sz w:val="16"/>
          <w:szCs w:val="16"/>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lang w:val="en-GB" w:eastAsia="bg-BG" w:bidi="bg-BG"/>
        </w:rPr>
        <w:t xml:space="preserve"> </w:t>
      </w:r>
      <w:r w:rsidRPr="00AC6E44">
        <w:rPr>
          <w:rFonts w:ascii="Times New Roman" w:hAnsi="Times New Roman" w:cs="Times New Roman"/>
          <w:sz w:val="16"/>
          <w:szCs w:val="16"/>
          <w:lang w:val="en-IE" w:eastAsia="bg-BG" w:bidi="bg-BG"/>
        </w:rPr>
        <w:t>Communication</w:t>
      </w:r>
      <w:r w:rsidRPr="00AC6E44">
        <w:rPr>
          <w:rFonts w:ascii="Times New Roman" w:hAnsi="Times New Roman" w:cs="Times New Roman"/>
          <w:sz w:val="16"/>
          <w:szCs w:val="16"/>
          <w:lang w:val="en-GB" w:eastAsia="bg-BG" w:bidi="bg-BG"/>
        </w:rPr>
        <w:t xml:space="preserve"> “</w:t>
      </w:r>
      <w:hyperlink r:id="rId5" w:history="1">
        <w:r w:rsidRPr="00AC6E44">
          <w:rPr>
            <w:rStyle w:val="Hyperlink"/>
            <w:rFonts w:ascii="Times New Roman" w:eastAsia="Times New Roman" w:hAnsi="Times New Roman" w:cs="Times New Roman"/>
            <w:color w:val="auto"/>
            <w:sz w:val="16"/>
            <w:szCs w:val="16"/>
            <w:lang w:eastAsia="hr-HR" w:bidi="hr-HR"/>
          </w:rPr>
          <w:t xml:space="preserve">Strengthening the rule of law within the Union </w:t>
        </w:r>
        <w:r w:rsidRPr="00AC6E44">
          <w:rPr>
            <w:rStyle w:val="Hyperlink"/>
            <w:rFonts w:ascii="Times New Roman" w:eastAsia="Times New Roman" w:hAnsi="Times New Roman" w:cs="Times New Roman"/>
            <w:color w:val="auto"/>
            <w:sz w:val="16"/>
            <w:szCs w:val="16"/>
            <w:lang w:eastAsia="bg-BG" w:bidi="bg-BG"/>
          </w:rPr>
          <w:t xml:space="preserve">– </w:t>
        </w:r>
        <w:r w:rsidRPr="00AC6E44">
          <w:rPr>
            <w:rStyle w:val="Hyperlink"/>
            <w:rFonts w:ascii="Times New Roman" w:eastAsia="Times New Roman" w:hAnsi="Times New Roman" w:cs="Times New Roman"/>
            <w:color w:val="auto"/>
            <w:sz w:val="16"/>
            <w:szCs w:val="16"/>
            <w:lang w:eastAsia="hr-HR" w:bidi="hr-HR"/>
          </w:rPr>
          <w:t>A blueprint for action</w:t>
        </w:r>
      </w:hyperlink>
      <w:r w:rsidRPr="00AC6E44">
        <w:rPr>
          <w:rFonts w:ascii="Times New Roman" w:eastAsia="Times New Roman" w:hAnsi="Times New Roman" w:cs="Times New Roman"/>
          <w:sz w:val="16"/>
          <w:szCs w:val="16"/>
          <w:lang w:eastAsia="hr-HR" w:bidi="hr-HR"/>
        </w:rPr>
        <w:t>”</w:t>
      </w:r>
      <w:r w:rsidRPr="00AC6E44">
        <w:rPr>
          <w:rStyle w:val="Footnote1"/>
          <w:rFonts w:ascii="Times New Roman" w:hAnsi="Times New Roman" w:cs="Times New Roman"/>
          <w:sz w:val="16"/>
          <w:szCs w:val="16"/>
        </w:rPr>
        <w:t>.</w:t>
      </w:r>
    </w:p>
  </w:footnote>
  <w:footnote w:id="7">
    <w:p w14:paraId="1B305C1C" w14:textId="7FFB29BD" w:rsidR="007F1F8A" w:rsidRPr="001126C1"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Fonts w:ascii="Times New Roman" w:hAnsi="Times New Roman" w:cs="Times New Roman"/>
          <w:sz w:val="16"/>
          <w:szCs w:val="16"/>
          <w:lang w:val="en-GB"/>
        </w:rPr>
        <w:t xml:space="preserve"> </w:t>
      </w:r>
      <w:hyperlink r:id="rId6" w:history="1">
        <w:r w:rsidRPr="00AC6E44">
          <w:rPr>
            <w:rStyle w:val="Hyperlink"/>
            <w:rFonts w:ascii="Times New Roman" w:hAnsi="Times New Roman" w:cs="Times New Roman"/>
            <w:color w:val="auto"/>
            <w:sz w:val="16"/>
            <w:szCs w:val="16"/>
            <w:lang w:val="en-IE" w:eastAsia="bg-BG" w:bidi="bg-BG"/>
          </w:rPr>
          <w:t>Communication</w:t>
        </w:r>
        <w:r w:rsidRPr="00AC6E44">
          <w:rPr>
            <w:rStyle w:val="Hyperlink"/>
            <w:rFonts w:ascii="Times New Roman" w:hAnsi="Times New Roman" w:cs="Times New Roman"/>
            <w:color w:val="auto"/>
            <w:sz w:val="16"/>
            <w:szCs w:val="16"/>
            <w:lang w:val="en-GB" w:eastAsia="bg-BG" w:bidi="bg-BG"/>
          </w:rPr>
          <w:t xml:space="preserve"> “</w:t>
        </w:r>
        <w:r w:rsidRPr="00AC6E44">
          <w:rPr>
            <w:rStyle w:val="Hyperlink"/>
            <w:rFonts w:ascii="Times New Roman" w:hAnsi="Times New Roman" w:cs="Times New Roman"/>
            <w:color w:val="auto"/>
            <w:sz w:val="16"/>
            <w:szCs w:val="16"/>
            <w:lang w:val="en-GB"/>
          </w:rPr>
          <w:t>A Competitiveness Compass for the EU”</w:t>
        </w:r>
      </w:hyperlink>
      <w:r w:rsidRPr="001126C1">
        <w:rPr>
          <w:rFonts w:ascii="Times New Roman" w:hAnsi="Times New Roman" w:cs="Times New Roman"/>
          <w:sz w:val="16"/>
          <w:szCs w:val="16"/>
          <w:lang w:val="en-GB"/>
        </w:rPr>
        <w:t>.</w:t>
      </w:r>
    </w:p>
  </w:footnote>
  <w:footnote w:id="8">
    <w:p w14:paraId="294A5C70" w14:textId="051710C3" w:rsidR="007F1F8A" w:rsidRPr="00AC6E44" w:rsidRDefault="007F1F8A" w:rsidP="00EB3203">
      <w:pPr>
        <w:pStyle w:val="FootnoteText"/>
        <w:ind w:left="0" w:firstLine="0"/>
        <w:contextualSpacing/>
        <w:mirrorIndents/>
        <w:rPr>
          <w:sz w:val="16"/>
          <w:szCs w:val="16"/>
        </w:rPr>
      </w:pPr>
      <w:r w:rsidRPr="00AC6E44">
        <w:rPr>
          <w:rStyle w:val="FootnoteReference"/>
          <w:sz w:val="16"/>
          <w:szCs w:val="16"/>
        </w:rPr>
        <w:footnoteRef/>
      </w:r>
      <w:r>
        <w:rPr>
          <w:sz w:val="16"/>
          <w:szCs w:val="16"/>
        </w:rPr>
        <w:t xml:space="preserve"> </w:t>
      </w:r>
      <w:hyperlink r:id="rId7" w:history="1">
        <w:r w:rsidRPr="00AC6E44">
          <w:rPr>
            <w:rStyle w:val="Hyperlink"/>
            <w:rFonts w:eastAsia="Calibri"/>
            <w:color w:val="auto"/>
            <w:sz w:val="16"/>
            <w:szCs w:val="16"/>
          </w:rPr>
          <w:t>2025 Annual Single Market and Competitiveness Report</w:t>
        </w:r>
      </w:hyperlink>
      <w:r w:rsidRPr="00AC6E44">
        <w:rPr>
          <w:sz w:val="16"/>
          <w:szCs w:val="16"/>
        </w:rPr>
        <w:t>.</w:t>
      </w:r>
    </w:p>
  </w:footnote>
  <w:footnote w:id="9">
    <w:p w14:paraId="5F31634F" w14:textId="7B0A2435" w:rsidR="007F1F8A" w:rsidRPr="00AC6E44" w:rsidRDefault="007F1F8A" w:rsidP="00EB3203">
      <w:pPr>
        <w:pStyle w:val="FootnoteText"/>
        <w:ind w:left="0" w:firstLine="0"/>
        <w:contextualSpacing/>
        <w:mirrorIndents/>
        <w:rPr>
          <w:sz w:val="16"/>
          <w:szCs w:val="16"/>
          <w:lang w:val="en-IE"/>
        </w:rPr>
      </w:pPr>
      <w:r w:rsidRPr="00AC6E44">
        <w:rPr>
          <w:rStyle w:val="FootnoteReference"/>
          <w:sz w:val="16"/>
          <w:szCs w:val="16"/>
        </w:rPr>
        <w:footnoteRef/>
      </w:r>
      <w:r w:rsidRPr="00AC6E44">
        <w:rPr>
          <w:sz w:val="16"/>
          <w:szCs w:val="16"/>
        </w:rPr>
        <w:t xml:space="preserve"> </w:t>
      </w:r>
      <w:bookmarkStart w:id="5" w:name="_Hlk205397445"/>
      <w:r w:rsidRPr="00AC6E44">
        <w:rPr>
          <w:sz w:val="16"/>
          <w:szCs w:val="16"/>
          <w:lang w:val="en-IE"/>
        </w:rPr>
        <w:fldChar w:fldCharType="begin"/>
      </w:r>
      <w:r w:rsidRPr="00AC6E44">
        <w:rPr>
          <w:sz w:val="16"/>
          <w:szCs w:val="16"/>
          <w:lang w:val="en-IE"/>
        </w:rPr>
        <w:instrText>HYPERLINK "https://commission.europa.eu/publications/2025-european-semester-spring-package-communication_en"</w:instrText>
      </w:r>
      <w:r w:rsidRPr="00AC6E44">
        <w:rPr>
          <w:sz w:val="16"/>
          <w:szCs w:val="16"/>
          <w:lang w:val="en-IE"/>
        </w:rPr>
      </w:r>
      <w:r w:rsidRPr="00AC6E44">
        <w:rPr>
          <w:sz w:val="16"/>
          <w:szCs w:val="16"/>
          <w:lang w:val="en-IE"/>
        </w:rPr>
        <w:fldChar w:fldCharType="separate"/>
      </w:r>
      <w:r w:rsidRPr="00AC6E44">
        <w:rPr>
          <w:rStyle w:val="Hyperlink"/>
          <w:color w:val="auto"/>
          <w:sz w:val="16"/>
          <w:szCs w:val="16"/>
          <w:lang w:val="en-IE"/>
        </w:rPr>
        <w:t>Communication</w:t>
      </w:r>
      <w:bookmarkEnd w:id="5"/>
      <w:r w:rsidRPr="00AC6E44">
        <w:rPr>
          <w:rStyle w:val="Hyperlink"/>
          <w:color w:val="auto"/>
          <w:sz w:val="16"/>
          <w:szCs w:val="16"/>
          <w:lang w:val="en-IE"/>
        </w:rPr>
        <w:t xml:space="preserve"> “2025 European Semester - Spring Package”</w:t>
      </w:r>
      <w:r w:rsidRPr="00AC6E44">
        <w:rPr>
          <w:sz w:val="16"/>
          <w:szCs w:val="16"/>
          <w:lang w:val="en-IE"/>
        </w:rPr>
        <w:fldChar w:fldCharType="end"/>
      </w:r>
      <w:r w:rsidRPr="00AC6E44">
        <w:rPr>
          <w:sz w:val="16"/>
          <w:szCs w:val="16"/>
          <w:lang w:val="en-IE"/>
        </w:rPr>
        <w:t>.</w:t>
      </w:r>
    </w:p>
  </w:footnote>
  <w:footnote w:id="10">
    <w:p w14:paraId="12CFE09A" w14:textId="340F4974"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Pr>
          <w:sz w:val="16"/>
          <w:szCs w:val="16"/>
        </w:rPr>
        <w:t xml:space="preserve"> </w:t>
      </w:r>
      <w:hyperlink r:id="rId8" w:history="1">
        <w:r w:rsidRPr="00AC6E44">
          <w:rPr>
            <w:rStyle w:val="Hyperlink"/>
            <w:color w:val="auto"/>
            <w:sz w:val="16"/>
            <w:szCs w:val="16"/>
          </w:rPr>
          <w:t>EU Justice Scoreboard</w:t>
        </w:r>
      </w:hyperlink>
      <w:r w:rsidRPr="00AC6E44">
        <w:rPr>
          <w:sz w:val="16"/>
          <w:szCs w:val="16"/>
        </w:rPr>
        <w:t>.</w:t>
      </w:r>
    </w:p>
  </w:footnote>
  <w:footnote w:id="11">
    <w:p w14:paraId="24C90C5B" w14:textId="061CA3EB" w:rsidR="007F1F8A" w:rsidRPr="00AC6E44" w:rsidRDefault="007F1F8A" w:rsidP="00EB3203">
      <w:pPr>
        <w:pStyle w:val="FootnoteText"/>
        <w:ind w:left="0" w:firstLine="0"/>
        <w:contextualSpacing/>
        <w:mirrorIndents/>
        <w:rPr>
          <w:sz w:val="16"/>
          <w:szCs w:val="16"/>
        </w:rPr>
      </w:pPr>
      <w:r w:rsidRPr="00AC6E44">
        <w:rPr>
          <w:rStyle w:val="FootnoteReference"/>
          <w:sz w:val="16"/>
          <w:szCs w:val="16"/>
        </w:rPr>
        <w:footnoteRef/>
      </w:r>
      <w:r>
        <w:rPr>
          <w:sz w:val="16"/>
          <w:szCs w:val="16"/>
        </w:rPr>
        <w:t xml:space="preserve"> </w:t>
      </w:r>
      <w:hyperlink r:id="rId9" w:history="1">
        <w:r w:rsidRPr="00AC6E44">
          <w:rPr>
            <w:sz w:val="16"/>
            <w:szCs w:val="16"/>
            <w:u w:val="single"/>
          </w:rPr>
          <w:t>Justice and home affairs ministers define priorities for next five years - Consilium</w:t>
        </w:r>
      </w:hyperlink>
      <w:r w:rsidRPr="00AC6E44">
        <w:rPr>
          <w:sz w:val="16"/>
          <w:szCs w:val="16"/>
        </w:rPr>
        <w:t>.</w:t>
      </w:r>
    </w:p>
  </w:footnote>
  <w:footnote w:id="12">
    <w:p w14:paraId="4FEBC677" w14:textId="602CBD18"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lang w:val="en-GB" w:eastAsia="bg-BG" w:bidi="bg-BG"/>
        </w:rPr>
        <w:t xml:space="preserve"> </w:t>
      </w:r>
      <w:r w:rsidRPr="00AC6E44">
        <w:rPr>
          <w:rStyle w:val="Footnote1"/>
          <w:rFonts w:ascii="Times New Roman" w:hAnsi="Times New Roman" w:cs="Times New Roman"/>
          <w:sz w:val="16"/>
          <w:szCs w:val="16"/>
          <w:lang w:val="en-GB"/>
        </w:rPr>
        <w:t>EJN civil is a network of Member States, and each Member State decides who should be appointed to the network. It is composed of contact points designated by the Member States, central bodies and authorities as provided for in the relevant EU legislation or in international instruments, liaison magistrates and any other appropriate judicial or administrative authority with responsibilities for judicial cooperation in civil and commercial matters, and professional associations representing legal practitioners directly involved in the judicial cooperation. National network members are normally the courts, central authorities and representatives of the legal professions (Article 5(2)(a) and (</w:t>
      </w:r>
      <w:proofErr w:type="spellStart"/>
      <w:r w:rsidRPr="00AC6E44">
        <w:rPr>
          <w:rStyle w:val="Footnote1"/>
          <w:rFonts w:ascii="Times New Roman" w:hAnsi="Times New Roman" w:cs="Times New Roman"/>
          <w:sz w:val="16"/>
          <w:szCs w:val="16"/>
          <w:lang w:val="en-GB"/>
        </w:rPr>
        <w:t>i</w:t>
      </w:r>
      <w:proofErr w:type="spellEnd"/>
      <w:r w:rsidRPr="00AC6E44">
        <w:rPr>
          <w:rStyle w:val="Footnote1"/>
          <w:rFonts w:ascii="Times New Roman" w:hAnsi="Times New Roman" w:cs="Times New Roman"/>
          <w:sz w:val="16"/>
          <w:szCs w:val="16"/>
          <w:lang w:val="en-GB"/>
        </w:rPr>
        <w:t>) of the EJN Council Decision).</w:t>
      </w:r>
    </w:p>
  </w:footnote>
  <w:footnote w:id="13">
    <w:p w14:paraId="2329A10B" w14:textId="54E6EE7E"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lang w:val="en-GB" w:eastAsia="bg-BG" w:bidi="bg-BG"/>
        </w:rPr>
        <w:t xml:space="preserve"> </w:t>
      </w:r>
      <w:r w:rsidRPr="00AC6E44">
        <w:rPr>
          <w:rStyle w:val="Footnote1"/>
          <w:rFonts w:ascii="Times New Roman" w:hAnsi="Times New Roman" w:cs="Times New Roman"/>
          <w:sz w:val="16"/>
          <w:szCs w:val="16"/>
          <w:lang w:val="en-GB"/>
        </w:rPr>
        <w:t>Framework Decisions 2008/909/JHA, 2008/947/JHA and 2009/829/JHA: see the ‘Legislative instrument references’ section.</w:t>
      </w:r>
    </w:p>
  </w:footnote>
  <w:footnote w:id="14">
    <w:p w14:paraId="7FA59290" w14:textId="7428F8A1" w:rsidR="007F1F8A" w:rsidRPr="002F6471" w:rsidRDefault="007F1F8A" w:rsidP="00EB3203">
      <w:pPr>
        <w:pStyle w:val="FootnoteText"/>
        <w:ind w:left="0" w:firstLine="0"/>
        <w:contextualSpacing/>
        <w:mirrorIndents/>
        <w:rPr>
          <w:sz w:val="16"/>
          <w:szCs w:val="16"/>
          <w:lang w:val="en-US"/>
        </w:rPr>
      </w:pPr>
      <w:r w:rsidRPr="002F6471">
        <w:rPr>
          <w:rStyle w:val="FootnoteReference"/>
          <w:sz w:val="16"/>
          <w:szCs w:val="16"/>
        </w:rPr>
        <w:footnoteRef/>
      </w:r>
      <w:bookmarkStart w:id="6" w:name="_Hlk205451109"/>
      <w:r>
        <w:rPr>
          <w:sz w:val="16"/>
          <w:szCs w:val="16"/>
        </w:rPr>
        <w:t xml:space="preserve"> </w:t>
      </w:r>
      <w:r w:rsidRPr="002F6471">
        <w:rPr>
          <w:sz w:val="16"/>
          <w:szCs w:val="16"/>
        </w:rPr>
        <w:t xml:space="preserve">For the full title and </w:t>
      </w:r>
      <w:r w:rsidRPr="002F6471">
        <w:rPr>
          <w:rStyle w:val="cf01"/>
          <w:rFonts w:ascii="Times New Roman" w:hAnsi="Times New Roman" w:cs="Times New Roman"/>
          <w:sz w:val="16"/>
          <w:szCs w:val="16"/>
        </w:rPr>
        <w:t>publication reference (OJ and ELI)</w:t>
      </w:r>
      <w:r w:rsidRPr="002F6471">
        <w:rPr>
          <w:sz w:val="16"/>
          <w:szCs w:val="16"/>
        </w:rPr>
        <w:t xml:space="preserve">, </w:t>
      </w:r>
      <w:r w:rsidRPr="00AC6E44">
        <w:rPr>
          <w:rStyle w:val="Footnote1"/>
          <w:sz w:val="16"/>
          <w:szCs w:val="16"/>
        </w:rPr>
        <w:t>see the ‘Legislative instrument references’ section.</w:t>
      </w:r>
    </w:p>
    <w:bookmarkEnd w:id="6"/>
  </w:footnote>
  <w:footnote w:id="15">
    <w:p w14:paraId="45E3A547" w14:textId="07EA2E21"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lang w:val="en-GB"/>
        </w:rPr>
        <w:t xml:space="preserve"> </w:t>
      </w:r>
      <w:r w:rsidRPr="002F6471">
        <w:rPr>
          <w:rStyle w:val="Footnote1"/>
          <w:rFonts w:ascii="Times New Roman" w:hAnsi="Times New Roman" w:cs="Times New Roman"/>
          <w:sz w:val="16"/>
          <w:szCs w:val="16"/>
          <w:lang w:val="en-GB"/>
        </w:rPr>
        <w:t>Ibidem.</w:t>
      </w:r>
    </w:p>
  </w:footnote>
  <w:footnote w:id="16">
    <w:p w14:paraId="09791637" w14:textId="6B2B452F"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bookmarkStart w:id="7" w:name="_Hlk205451418"/>
      <w:r>
        <w:rPr>
          <w:sz w:val="16"/>
          <w:szCs w:val="16"/>
        </w:rPr>
        <w:t xml:space="preserve"> </w:t>
      </w:r>
      <w:r w:rsidRPr="00AC6E44">
        <w:rPr>
          <w:sz w:val="16"/>
          <w:szCs w:val="16"/>
        </w:rPr>
        <w:t xml:space="preserve">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bookmarkEnd w:id="7"/>
    </w:p>
  </w:footnote>
  <w:footnote w:id="17">
    <w:p w14:paraId="2AC7C279" w14:textId="1853DF53" w:rsidR="007F1F8A" w:rsidRPr="00AC6E44" w:rsidRDefault="007F1F8A" w:rsidP="00EB3203">
      <w:pPr>
        <w:pStyle w:val="FootnoteText"/>
        <w:ind w:left="0" w:firstLine="0"/>
        <w:contextualSpacing/>
        <w:mirrorIndents/>
        <w:rPr>
          <w:sz w:val="16"/>
          <w:szCs w:val="16"/>
        </w:rPr>
      </w:pPr>
      <w:r w:rsidRPr="00AC6E44">
        <w:rPr>
          <w:rStyle w:val="FootnoteReference"/>
          <w:sz w:val="16"/>
          <w:szCs w:val="16"/>
        </w:rPr>
        <w:footnoteRef/>
      </w:r>
      <w:r>
        <w:rPr>
          <w:rStyle w:val="Footnote1"/>
          <w:sz w:val="16"/>
          <w:szCs w:val="16"/>
        </w:rPr>
        <w:t xml:space="preserve"> </w:t>
      </w:r>
      <w:r w:rsidRPr="00AC6E44">
        <w:rPr>
          <w:rStyle w:val="Footnote1"/>
          <w:sz w:val="16"/>
          <w:szCs w:val="16"/>
        </w:rPr>
        <w:t>Ibidem.</w:t>
      </w:r>
    </w:p>
  </w:footnote>
  <w:footnote w:id="18">
    <w:p w14:paraId="009C4DF8" w14:textId="667E6DA5" w:rsidR="007F1F8A" w:rsidRPr="00AC6E44" w:rsidRDefault="007F1F8A" w:rsidP="00EB3203">
      <w:pPr>
        <w:pStyle w:val="FootnoteText"/>
        <w:ind w:left="0" w:firstLine="0"/>
        <w:rPr>
          <w:sz w:val="16"/>
          <w:szCs w:val="16"/>
        </w:rPr>
      </w:pPr>
      <w:r w:rsidRPr="00AC6E44">
        <w:rPr>
          <w:rStyle w:val="FootnoteReference"/>
          <w:sz w:val="16"/>
          <w:szCs w:val="16"/>
        </w:rPr>
        <w:footnoteRef/>
      </w:r>
      <w:r w:rsidRPr="00AC6E44">
        <w:rPr>
          <w:sz w:val="16"/>
          <w:szCs w:val="16"/>
        </w:rPr>
        <w:t xml:space="preserve"> </w:t>
      </w:r>
      <w:hyperlink r:id="rId10" w:history="1">
        <w:r w:rsidRPr="00AC6E44">
          <w:rPr>
            <w:rStyle w:val="Hyperlink"/>
            <w:color w:val="auto"/>
            <w:sz w:val="16"/>
            <w:szCs w:val="16"/>
          </w:rPr>
          <w:t>Recommendation on the procedural rights of suspects and accused persons subject to pre-trial detention and on material detention conditions</w:t>
        </w:r>
      </w:hyperlink>
      <w:r w:rsidRPr="00AC6E44">
        <w:rPr>
          <w:sz w:val="16"/>
          <w:szCs w:val="16"/>
        </w:rPr>
        <w:t xml:space="preserve">, </w:t>
      </w:r>
      <w:proofErr w:type="gramStart"/>
      <w:r w:rsidRPr="00AC6E44">
        <w:rPr>
          <w:sz w:val="16"/>
          <w:szCs w:val="16"/>
        </w:rPr>
        <w:t>C(</w:t>
      </w:r>
      <w:proofErr w:type="gramEnd"/>
      <w:r w:rsidRPr="00AC6E44">
        <w:rPr>
          <w:sz w:val="16"/>
          <w:szCs w:val="16"/>
        </w:rPr>
        <w:t>2022) 8987 final.</w:t>
      </w:r>
    </w:p>
  </w:footnote>
  <w:footnote w:id="19">
    <w:p w14:paraId="01F120A1" w14:textId="46B5299C"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20">
    <w:p w14:paraId="19905CE3" w14:textId="21718D90"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bookmarkStart w:id="9" w:name="_Hlk205400301"/>
      <w:r w:rsidRPr="00AC6E44">
        <w:rPr>
          <w:rStyle w:val="Footnote1"/>
          <w:sz w:val="16"/>
          <w:szCs w:val="16"/>
        </w:rPr>
        <w:t>Ibidem.</w:t>
      </w:r>
    </w:p>
    <w:bookmarkEnd w:id="9"/>
  </w:footnote>
  <w:footnote w:id="21">
    <w:p w14:paraId="66C8578B" w14:textId="1E5F3B42" w:rsidR="007F1F8A" w:rsidRPr="00AC6E44" w:rsidRDefault="007F1F8A" w:rsidP="00EB3203">
      <w:pPr>
        <w:pStyle w:val="NormalWeb"/>
        <w:shd w:val="clear" w:color="auto" w:fill="FFFFFF"/>
        <w:spacing w:before="0" w:after="0"/>
        <w:contextualSpacing/>
        <w:mirrorIndents/>
        <w:rPr>
          <w:rFonts w:eastAsia="Times New Roman"/>
          <w:sz w:val="16"/>
          <w:szCs w:val="16"/>
          <w:lang w:val="en"/>
        </w:rPr>
      </w:pPr>
      <w:r w:rsidRPr="00AC6E44">
        <w:rPr>
          <w:rStyle w:val="FootnoteReference"/>
          <w:sz w:val="16"/>
          <w:szCs w:val="16"/>
        </w:rPr>
        <w:footnoteRef/>
      </w:r>
      <w:r w:rsidRPr="00AC6E44">
        <w:rPr>
          <w:sz w:val="16"/>
          <w:szCs w:val="16"/>
        </w:rPr>
        <w:t xml:space="preserve"> </w:t>
      </w:r>
      <w:r w:rsidRPr="00AC6E44">
        <w:rPr>
          <w:sz w:val="16"/>
          <w:szCs w:val="16"/>
          <w:shd w:val="clear" w:color="auto" w:fill="FFFFFF"/>
        </w:rPr>
        <w:t xml:space="preserve">Charter of Fundamental Rights of the European Union, </w:t>
      </w:r>
      <w:r w:rsidRPr="00AC6E44">
        <w:rPr>
          <w:rStyle w:val="Emphasis"/>
          <w:i w:val="0"/>
          <w:iCs w:val="0"/>
          <w:sz w:val="16"/>
          <w:szCs w:val="16"/>
          <w:shd w:val="clear" w:color="auto" w:fill="FFFFFF"/>
        </w:rPr>
        <w:t xml:space="preserve">OJ C 202, 7.6.2016, pp. 389–405, </w:t>
      </w:r>
      <w:r w:rsidRPr="00AC6E44">
        <w:rPr>
          <w:rFonts w:eastAsia="Times New Roman"/>
          <w:sz w:val="16"/>
          <w:szCs w:val="16"/>
          <w:lang w:val="en"/>
        </w:rPr>
        <w:t>ELI: </w:t>
      </w:r>
      <w:hyperlink r:id="rId11" w:tooltip="Gives access to this document through its ELI URI." w:history="1">
        <w:r w:rsidRPr="00AC6E44">
          <w:rPr>
            <w:rFonts w:eastAsia="Times New Roman"/>
            <w:sz w:val="16"/>
            <w:szCs w:val="16"/>
            <w:u w:val="single"/>
            <w:lang w:val="en"/>
          </w:rPr>
          <w:t>http://data.europa.eu/eli/treaty/char_2016/oj</w:t>
        </w:r>
      </w:hyperlink>
      <w:r w:rsidRPr="00AC6E44">
        <w:rPr>
          <w:rFonts w:eastAsia="Times New Roman"/>
          <w:sz w:val="16"/>
          <w:szCs w:val="16"/>
          <w:lang w:val="en"/>
        </w:rPr>
        <w:t>.</w:t>
      </w:r>
    </w:p>
  </w:footnote>
  <w:footnote w:id="22">
    <w:p w14:paraId="36811550" w14:textId="3B60C517"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12" w:history="1">
        <w:r w:rsidRPr="00AC6E44">
          <w:rPr>
            <w:rStyle w:val="Hyperlink"/>
            <w:rFonts w:eastAsia="Times New Roman"/>
            <w:color w:val="auto"/>
            <w:sz w:val="16"/>
            <w:szCs w:val="16"/>
            <w:lang w:eastAsia="hr-HR" w:bidi="hr-HR"/>
          </w:rPr>
          <w:t>COM/2020/711 final</w:t>
        </w:r>
      </w:hyperlink>
      <w:r w:rsidRPr="00AC6E44">
        <w:rPr>
          <w:rFonts w:eastAsia="Times New Roman"/>
          <w:sz w:val="16"/>
          <w:szCs w:val="16"/>
          <w:lang w:eastAsia="hr-HR" w:bidi="hr-HR"/>
        </w:rPr>
        <w:t>.</w:t>
      </w:r>
    </w:p>
  </w:footnote>
  <w:footnote w:id="23">
    <w:p w14:paraId="6D331B08" w14:textId="62EEF97F"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24">
    <w:p w14:paraId="4E0C5EF3" w14:textId="6AE2C53D" w:rsidR="007F1F8A" w:rsidRPr="00AC6E44" w:rsidRDefault="007F1F8A" w:rsidP="00EB3203">
      <w:pPr>
        <w:pStyle w:val="FootnoteText"/>
        <w:ind w:left="0" w:firstLine="0"/>
        <w:contextualSpacing/>
        <w:mirrorIndents/>
        <w:rPr>
          <w:sz w:val="16"/>
          <w:szCs w:val="16"/>
        </w:rPr>
      </w:pPr>
      <w:r w:rsidRPr="00AC6E44">
        <w:rPr>
          <w:rStyle w:val="FootnoteReference"/>
          <w:sz w:val="16"/>
          <w:szCs w:val="16"/>
        </w:rPr>
        <w:footnoteRef/>
      </w:r>
      <w:r>
        <w:rPr>
          <w:sz w:val="16"/>
          <w:szCs w:val="16"/>
        </w:rPr>
        <w:t xml:space="preserve"> </w:t>
      </w:r>
      <w:r w:rsidRPr="00AC6E44">
        <w:rPr>
          <w:sz w:val="16"/>
          <w:szCs w:val="16"/>
        </w:rPr>
        <w:t>Ibidem.</w:t>
      </w:r>
    </w:p>
  </w:footnote>
  <w:footnote w:id="25">
    <w:p w14:paraId="071E3AA0" w14:textId="329E77DF"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lang w:val="en-GB" w:eastAsia="bg-BG" w:bidi="bg-BG"/>
        </w:rPr>
        <w:t xml:space="preserve"> </w:t>
      </w:r>
      <w:r w:rsidRPr="00AC6E44">
        <w:rPr>
          <w:rStyle w:val="Footnote1"/>
          <w:rFonts w:ascii="Times New Roman" w:hAnsi="Times New Roman" w:cs="Times New Roman"/>
          <w:sz w:val="16"/>
          <w:szCs w:val="16"/>
          <w:lang w:val="en-GB" w:eastAsia="bg-BG" w:bidi="bg-BG"/>
        </w:rPr>
        <w:t>Ibidem</w:t>
      </w:r>
      <w:r w:rsidRPr="00AC6E44">
        <w:rPr>
          <w:rFonts w:ascii="Times New Roman" w:hAnsi="Times New Roman" w:cs="Times New Roman"/>
          <w:sz w:val="16"/>
          <w:szCs w:val="16"/>
        </w:rPr>
        <w:t>.</w:t>
      </w:r>
    </w:p>
  </w:footnote>
  <w:footnote w:id="26">
    <w:p w14:paraId="232FA291" w14:textId="7C7EEF56"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Pr>
          <w:sz w:val="16"/>
          <w:szCs w:val="16"/>
        </w:rPr>
        <w:t xml:space="preserve"> </w:t>
      </w:r>
      <w:r w:rsidRPr="00AC6E44">
        <w:rPr>
          <w:sz w:val="16"/>
          <w:szCs w:val="16"/>
          <w:shd w:val="clear" w:color="auto" w:fill="FFFFFF"/>
        </w:rPr>
        <w:t xml:space="preserve">Commission Recommendation of 27 November 2013 on procedural safeguards for vulnerable persons suspected or accused in criminal proceedings, </w:t>
      </w:r>
      <w:r w:rsidRPr="00AC6E44">
        <w:rPr>
          <w:rStyle w:val="Emphasis"/>
          <w:i w:val="0"/>
          <w:iCs w:val="0"/>
          <w:sz w:val="16"/>
          <w:szCs w:val="16"/>
          <w:shd w:val="clear" w:color="auto" w:fill="FFFFFF"/>
        </w:rPr>
        <w:t>OJ C 378, 24.12.2013, pp. 8–10.</w:t>
      </w:r>
    </w:p>
  </w:footnote>
  <w:footnote w:id="27">
    <w:p w14:paraId="2DBBB2A4" w14:textId="67881F3C" w:rsidR="007F1F8A" w:rsidRPr="00AC6E44" w:rsidRDefault="007F1F8A" w:rsidP="00EB3203">
      <w:pPr>
        <w:pStyle w:val="Footnote10"/>
        <w:contextualSpacing/>
        <w:mirrorIndents/>
        <w:jc w:val="both"/>
        <w:rPr>
          <w:rFonts w:ascii="Times New Roman" w:eastAsia="Verdana"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Fonts w:ascii="Times New Roman" w:eastAsia="Verdana" w:hAnsi="Times New Roman" w:cs="Times New Roman"/>
          <w:sz w:val="16"/>
          <w:szCs w:val="16"/>
          <w:lang w:val="en-GB"/>
        </w:rPr>
        <w:t xml:space="preserve"> </w:t>
      </w:r>
      <w:r w:rsidRPr="00AC6E44">
        <w:rPr>
          <w:rFonts w:ascii="Times New Roman" w:eastAsia="Verdana" w:hAnsi="Times New Roman" w:cs="Times New Roman"/>
          <w:sz w:val="16"/>
          <w:szCs w:val="16"/>
          <w:lang w:val="en-GB"/>
        </w:rPr>
        <w:t xml:space="preserve">Proposal for a Directive of </w:t>
      </w:r>
      <w:r w:rsidRPr="00AC6E44">
        <w:rPr>
          <w:rFonts w:ascii="Times New Roman" w:hAnsi="Times New Roman" w:cs="Times New Roman"/>
          <w:sz w:val="16"/>
          <w:szCs w:val="16"/>
          <w:lang w:val="en-GB"/>
        </w:rPr>
        <w:t>the</w:t>
      </w:r>
      <w:r w:rsidRPr="00AC6E44">
        <w:rPr>
          <w:rFonts w:ascii="Times New Roman" w:eastAsia="Verdana" w:hAnsi="Times New Roman" w:cs="Times New Roman"/>
          <w:sz w:val="16"/>
          <w:szCs w:val="16"/>
          <w:lang w:val="en-GB"/>
        </w:rPr>
        <w:t xml:space="preserve"> European Parliament and of the Council amending Directive 2012/29/EU establishing minimum standards on the rights, support and protection of victims of crime, and replacing Council Framework Decision 2001/220/JHA, </w:t>
      </w:r>
      <w:proofErr w:type="gramStart"/>
      <w:r w:rsidRPr="00AC6E44">
        <w:rPr>
          <w:rFonts w:ascii="Times New Roman" w:eastAsia="Verdana" w:hAnsi="Times New Roman" w:cs="Times New Roman"/>
          <w:sz w:val="16"/>
          <w:szCs w:val="16"/>
          <w:lang w:val="en-GB"/>
        </w:rPr>
        <w:t>COM(</w:t>
      </w:r>
      <w:proofErr w:type="gramEnd"/>
      <w:r w:rsidRPr="00AC6E44">
        <w:rPr>
          <w:rFonts w:ascii="Times New Roman" w:eastAsia="Verdana" w:hAnsi="Times New Roman" w:cs="Times New Roman"/>
          <w:sz w:val="16"/>
          <w:szCs w:val="16"/>
          <w:lang w:val="en-GB"/>
        </w:rPr>
        <w:t>2023) 424 final</w:t>
      </w:r>
      <w:r w:rsidRPr="00AC6E44">
        <w:rPr>
          <w:rFonts w:ascii="Times New Roman" w:hAnsi="Times New Roman" w:cs="Times New Roman"/>
          <w:sz w:val="16"/>
          <w:szCs w:val="16"/>
          <w:lang w:val="en-GB"/>
        </w:rPr>
        <w:t>.</w:t>
      </w:r>
    </w:p>
  </w:footnote>
  <w:footnote w:id="28">
    <w:p w14:paraId="07FAC89D" w14:textId="0109A07B"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13" w:history="1">
        <w:r w:rsidRPr="00AC6E44" w:rsidDel="008B46C8">
          <w:rPr>
            <w:rStyle w:val="Hyperlink"/>
            <w:rFonts w:eastAsia="Times New Roman"/>
            <w:color w:val="auto"/>
            <w:sz w:val="16"/>
            <w:szCs w:val="16"/>
            <w:lang w:eastAsia="hr-HR" w:bidi="hr-HR"/>
          </w:rPr>
          <w:t xml:space="preserve">EU </w:t>
        </w:r>
        <w:r w:rsidRPr="00AC6E44">
          <w:rPr>
            <w:rStyle w:val="Hyperlink"/>
            <w:rFonts w:eastAsia="Times New Roman"/>
            <w:color w:val="auto"/>
            <w:sz w:val="16"/>
            <w:szCs w:val="16"/>
            <w:lang w:eastAsia="hr-HR" w:bidi="hr-HR"/>
          </w:rPr>
          <w:t>campaign on victim</w:t>
        </w:r>
        <w:r w:rsidRPr="00AC6E44" w:rsidDel="00127BA8">
          <w:rPr>
            <w:rStyle w:val="Hyperlink"/>
            <w:rFonts w:eastAsia="Times New Roman"/>
            <w:color w:val="auto"/>
            <w:sz w:val="16"/>
            <w:szCs w:val="16"/>
            <w:lang w:eastAsia="hr-HR" w:bidi="hr-HR"/>
          </w:rPr>
          <w:t>s’ rights</w:t>
        </w:r>
      </w:hyperlink>
      <w:r w:rsidRPr="00AC6E44">
        <w:rPr>
          <w:rFonts w:eastAsia="Times New Roman"/>
          <w:sz w:val="16"/>
          <w:szCs w:val="16"/>
          <w:lang w:eastAsia="hr-HR" w:bidi="hr-HR"/>
        </w:rPr>
        <w:t>.</w:t>
      </w:r>
    </w:p>
  </w:footnote>
  <w:footnote w:id="29">
    <w:p w14:paraId="367D2583" w14:textId="2276B46C"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bookmarkStart w:id="13" w:name="_Hlk205451601"/>
      <w:r w:rsidRPr="00AC6E44">
        <w:rPr>
          <w:sz w:val="16"/>
          <w:szCs w:val="16"/>
          <w:shd w:val="clear" w:color="auto" w:fill="FFFFFF"/>
        </w:rPr>
        <w:t>Directive 2012/29/EU</w:t>
      </w:r>
      <w:bookmarkEnd w:id="13"/>
      <w:r w:rsidRPr="00AC6E44">
        <w:rPr>
          <w:sz w:val="16"/>
          <w:szCs w:val="16"/>
          <w:shd w:val="clear" w:color="auto" w:fill="FFFFFF"/>
        </w:rPr>
        <w:t xml:space="preserve">: </w:t>
      </w:r>
      <w:r w:rsidRPr="00AC6E44">
        <w:rPr>
          <w:sz w:val="16"/>
          <w:szCs w:val="16"/>
        </w:rPr>
        <w:t xml:space="preserve">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30">
    <w:p w14:paraId="16B83B75" w14:textId="370DC67D"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31">
    <w:p w14:paraId="446C9244" w14:textId="040A33B6"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r w:rsidRPr="00AC6E44">
        <w:rPr>
          <w:sz w:val="16"/>
          <w:szCs w:val="16"/>
          <w:lang w:val="en-US"/>
        </w:rPr>
        <w:t>Ibidem.</w:t>
      </w:r>
    </w:p>
  </w:footnote>
  <w:footnote w:id="32">
    <w:p w14:paraId="1E83FD57" w14:textId="505F746C"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14" w:history="1">
        <w:r w:rsidRPr="00AC6E44">
          <w:rPr>
            <w:rStyle w:val="Hyperlink"/>
            <w:color w:val="auto"/>
            <w:sz w:val="16"/>
            <w:szCs w:val="16"/>
            <w:shd w:val="clear" w:color="auto" w:fill="FFFFFF"/>
          </w:rPr>
          <w:t>EU strategy on the rights of the child</w:t>
        </w:r>
      </w:hyperlink>
      <w:r w:rsidRPr="00AC6E44">
        <w:rPr>
          <w:sz w:val="16"/>
          <w:szCs w:val="16"/>
          <w:shd w:val="clear" w:color="auto" w:fill="FFFFFF"/>
        </w:rPr>
        <w:t xml:space="preserve">, </w:t>
      </w:r>
      <w:proofErr w:type="gramStart"/>
      <w:r w:rsidRPr="00AC6E44">
        <w:rPr>
          <w:sz w:val="16"/>
          <w:szCs w:val="16"/>
          <w:shd w:val="clear" w:color="auto" w:fill="FFFFFF"/>
        </w:rPr>
        <w:t>COM(</w:t>
      </w:r>
      <w:proofErr w:type="gramEnd"/>
      <w:r w:rsidRPr="00AC6E44">
        <w:rPr>
          <w:sz w:val="16"/>
          <w:szCs w:val="16"/>
          <w:shd w:val="clear" w:color="auto" w:fill="FFFFFF"/>
        </w:rPr>
        <w:t>2021) 142 final.</w:t>
      </w:r>
    </w:p>
  </w:footnote>
  <w:footnote w:id="33">
    <w:p w14:paraId="2D1FD41B" w14:textId="7E054027"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15" w:history="1">
        <w:r w:rsidRPr="00AC6E44">
          <w:rPr>
            <w:rStyle w:val="Hyperlink"/>
            <w:color w:val="auto"/>
            <w:sz w:val="16"/>
            <w:szCs w:val="16"/>
            <w:shd w:val="clear" w:color="auto" w:fill="FFFFFF"/>
          </w:rPr>
          <w:t>Commission Recommendation (EU) 2024/1238 of 23 April 2024 on developing and strengthening integrated child protection systems in the best interests of the child</w:t>
        </w:r>
      </w:hyperlink>
      <w:r w:rsidRPr="00AC6E44">
        <w:rPr>
          <w:sz w:val="16"/>
          <w:szCs w:val="16"/>
          <w:shd w:val="clear" w:color="auto" w:fill="FFFFFF"/>
        </w:rPr>
        <w:t>, OJ L, 2024/1238, 14.5.2024, ELI: </w:t>
      </w:r>
      <w:hyperlink r:id="rId16" w:tgtFrame="_blank" w:tooltip="Gives access to this document through its ELI URI." w:history="1">
        <w:r w:rsidRPr="00AC6E44">
          <w:rPr>
            <w:sz w:val="16"/>
            <w:szCs w:val="16"/>
            <w:u w:val="single"/>
          </w:rPr>
          <w:t>http://data.europa.eu/eli/reco/2024/1238/oj</w:t>
        </w:r>
      </w:hyperlink>
      <w:r w:rsidRPr="00AC6E44">
        <w:rPr>
          <w:sz w:val="16"/>
          <w:szCs w:val="16"/>
          <w:shd w:val="clear" w:color="auto" w:fill="FFFFFF"/>
        </w:rPr>
        <w:t>.</w:t>
      </w:r>
    </w:p>
  </w:footnote>
  <w:footnote w:id="34">
    <w:p w14:paraId="4B0CE770" w14:textId="73CF5B3A" w:rsidR="007F1F8A" w:rsidRPr="002F6471" w:rsidRDefault="007F1F8A" w:rsidP="00EB3203">
      <w:pPr>
        <w:pStyle w:val="FootnoteText"/>
        <w:ind w:left="0" w:firstLine="0"/>
        <w:contextualSpacing/>
        <w:mirrorIndents/>
        <w:rPr>
          <w:sz w:val="16"/>
          <w:szCs w:val="16"/>
          <w:lang w:val="it-IT"/>
        </w:rPr>
      </w:pPr>
      <w:r w:rsidRPr="00AC6E44">
        <w:rPr>
          <w:rStyle w:val="FootnoteReference"/>
          <w:sz w:val="16"/>
          <w:szCs w:val="16"/>
        </w:rPr>
        <w:footnoteRef/>
      </w:r>
      <w:r w:rsidRPr="002F6471">
        <w:rPr>
          <w:sz w:val="16"/>
          <w:szCs w:val="16"/>
          <w:lang w:val="it-IT"/>
        </w:rPr>
        <w:t xml:space="preserve"> </w:t>
      </w:r>
      <w:hyperlink r:id="rId17" w:history="1">
        <w:proofErr w:type="spellStart"/>
        <w:r w:rsidRPr="002F6471">
          <w:rPr>
            <w:rStyle w:val="Hyperlink"/>
            <w:rFonts w:eastAsia="Times New Roman"/>
            <w:color w:val="auto"/>
            <w:sz w:val="16"/>
            <w:szCs w:val="16"/>
            <w:lang w:val="it-IT" w:eastAsia="hr-HR" w:bidi="hr-HR"/>
          </w:rPr>
          <w:t>European</w:t>
        </w:r>
        <w:proofErr w:type="spellEnd"/>
        <w:r w:rsidRPr="002F6471">
          <w:rPr>
            <w:rStyle w:val="Hyperlink"/>
            <w:rFonts w:eastAsia="Times New Roman"/>
            <w:color w:val="auto"/>
            <w:sz w:val="16"/>
            <w:szCs w:val="16"/>
            <w:lang w:val="it-IT" w:eastAsia="hr-HR" w:bidi="hr-HR"/>
          </w:rPr>
          <w:t xml:space="preserve"> e-Justice Portal</w:t>
        </w:r>
      </w:hyperlink>
      <w:r w:rsidRPr="002F6471">
        <w:rPr>
          <w:rFonts w:eastAsia="Times New Roman"/>
          <w:sz w:val="16"/>
          <w:szCs w:val="16"/>
          <w:lang w:val="it-IT" w:eastAsia="hr-HR" w:bidi="hr-HR"/>
        </w:rPr>
        <w:t>.</w:t>
      </w:r>
    </w:p>
  </w:footnote>
  <w:footnote w:id="35">
    <w:p w14:paraId="5A079B4D" w14:textId="40CE9C98" w:rsidR="007F1F8A" w:rsidRPr="00097C6F" w:rsidRDefault="007F1F8A" w:rsidP="00EB3203">
      <w:pPr>
        <w:pStyle w:val="Footnote10"/>
        <w:contextualSpacing/>
        <w:mirrorIndents/>
        <w:jc w:val="both"/>
        <w:rPr>
          <w:rFonts w:ascii="Times New Roman" w:hAnsi="Times New Roman" w:cs="Times New Roman"/>
          <w:sz w:val="16"/>
          <w:szCs w:val="16"/>
          <w:lang w:val="it-IT"/>
        </w:rPr>
      </w:pPr>
      <w:r w:rsidRPr="00AC6E44">
        <w:rPr>
          <w:rStyle w:val="FootnoteReference"/>
          <w:rFonts w:ascii="Times New Roman" w:hAnsi="Times New Roman" w:cs="Times New Roman"/>
          <w:sz w:val="16"/>
          <w:szCs w:val="16"/>
          <w:lang w:val="en-GB"/>
        </w:rPr>
        <w:footnoteRef/>
      </w:r>
      <w:r w:rsidRPr="00097C6F">
        <w:rPr>
          <w:rFonts w:ascii="Times New Roman" w:hAnsi="Times New Roman" w:cs="Times New Roman"/>
          <w:sz w:val="16"/>
          <w:szCs w:val="16"/>
          <w:shd w:val="clear" w:color="auto" w:fill="FFFFFF"/>
          <w:lang w:val="it-IT"/>
        </w:rPr>
        <w:t xml:space="preserve"> </w:t>
      </w:r>
      <w:hyperlink r:id="rId18" w:history="1">
        <w:r w:rsidRPr="00097C6F">
          <w:rPr>
            <w:rStyle w:val="Hyperlink"/>
            <w:rFonts w:ascii="Times New Roman" w:hAnsi="Times New Roman" w:cs="Times New Roman"/>
            <w:sz w:val="16"/>
            <w:szCs w:val="16"/>
            <w:shd w:val="clear" w:color="auto" w:fill="FFFFFF"/>
            <w:lang w:val="it-IT"/>
          </w:rPr>
          <w:t>European e-Justice Strategy 2024-2028</w:t>
        </w:r>
      </w:hyperlink>
      <w:r w:rsidRPr="00097C6F">
        <w:rPr>
          <w:rFonts w:ascii="Times New Roman" w:hAnsi="Times New Roman" w:cs="Times New Roman"/>
          <w:sz w:val="16"/>
          <w:szCs w:val="16"/>
          <w:shd w:val="clear" w:color="auto" w:fill="FFFFFF"/>
          <w:lang w:val="it-IT"/>
        </w:rPr>
        <w:t>,</w:t>
      </w:r>
      <w:r w:rsidRPr="00097C6F">
        <w:rPr>
          <w:rFonts w:ascii="Times New Roman" w:hAnsi="Times New Roman" w:cs="Times New Roman"/>
          <w:sz w:val="16"/>
          <w:szCs w:val="16"/>
          <w:lang w:val="it-IT"/>
        </w:rPr>
        <w:t xml:space="preserve"> </w:t>
      </w:r>
      <w:r w:rsidRPr="00097C6F">
        <w:rPr>
          <w:rFonts w:ascii="Times New Roman" w:hAnsi="Times New Roman" w:cs="Times New Roman"/>
          <w:sz w:val="16"/>
          <w:szCs w:val="16"/>
          <w:shd w:val="clear" w:color="auto" w:fill="FFFFFF"/>
          <w:lang w:val="it-IT"/>
        </w:rPr>
        <w:t>OJ C, C/2025/437, 16.1.2025, ELI: </w:t>
      </w:r>
      <w:hyperlink r:id="rId19" w:tgtFrame="_blank" w:tooltip="Gives access to this document through its ELI URI." w:history="1">
        <w:r w:rsidRPr="00097C6F">
          <w:rPr>
            <w:rFonts w:ascii="Times New Roman" w:hAnsi="Times New Roman" w:cs="Times New Roman"/>
            <w:sz w:val="16"/>
            <w:szCs w:val="16"/>
            <w:u w:val="single"/>
            <w:lang w:val="it-IT"/>
          </w:rPr>
          <w:t>http://data.europa.eu/eli/C/2025/437/oj</w:t>
        </w:r>
      </w:hyperlink>
      <w:r w:rsidRPr="00097C6F">
        <w:rPr>
          <w:rFonts w:ascii="Times New Roman" w:hAnsi="Times New Roman" w:cs="Times New Roman"/>
          <w:sz w:val="16"/>
          <w:szCs w:val="16"/>
          <w:lang w:val="it-IT"/>
        </w:rPr>
        <w:t>.</w:t>
      </w:r>
    </w:p>
  </w:footnote>
  <w:footnote w:id="36">
    <w:p w14:paraId="4B031FB4" w14:textId="77A24ED0" w:rsidR="007F1F8A" w:rsidRPr="002F6471"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lang w:val="en-GB"/>
        </w:rPr>
        <w:t xml:space="preserve"> </w:t>
      </w:r>
      <w:r w:rsidRPr="002F6471">
        <w:rPr>
          <w:rStyle w:val="Footnote1"/>
          <w:rFonts w:ascii="Times New Roman" w:hAnsi="Times New Roman" w:cs="Times New Roman"/>
          <w:sz w:val="16"/>
          <w:szCs w:val="16"/>
          <w:lang w:val="en-GB"/>
        </w:rPr>
        <w:t xml:space="preserve">The Justice programme regulation earmarks allocations for individual budget lines as follows: </w:t>
      </w:r>
      <w:r w:rsidRPr="002F6471">
        <w:rPr>
          <w:rStyle w:val="Footnote1"/>
          <w:rFonts w:ascii="Times New Roman" w:hAnsi="Times New Roman" w:cs="Times New Roman"/>
          <w:sz w:val="16"/>
          <w:szCs w:val="16"/>
          <w:lang w:val="en-GB" w:eastAsia="bg-BG" w:bidi="bg-BG"/>
        </w:rPr>
        <w:t xml:space="preserve">27% </w:t>
      </w:r>
      <w:r w:rsidRPr="002F6471">
        <w:rPr>
          <w:rStyle w:val="Footnote1"/>
          <w:rFonts w:ascii="Times New Roman" w:hAnsi="Times New Roman" w:cs="Times New Roman"/>
          <w:sz w:val="16"/>
          <w:szCs w:val="16"/>
          <w:lang w:val="en-GB"/>
        </w:rPr>
        <w:t xml:space="preserve">to </w:t>
      </w:r>
      <w:r w:rsidRPr="002F6471">
        <w:rPr>
          <w:rStyle w:val="Footnote1"/>
          <w:rFonts w:ascii="Times New Roman" w:hAnsi="Times New Roman" w:cs="Times New Roman"/>
          <w:sz w:val="16"/>
          <w:szCs w:val="16"/>
          <w:lang w:val="en-GB" w:eastAsia="bg-BG" w:bidi="bg-BG"/>
        </w:rPr>
        <w:t xml:space="preserve">07 07 01, 36% </w:t>
      </w:r>
      <w:r w:rsidRPr="002F6471">
        <w:rPr>
          <w:rStyle w:val="Footnote1"/>
          <w:rFonts w:ascii="Times New Roman" w:hAnsi="Times New Roman" w:cs="Times New Roman"/>
          <w:sz w:val="16"/>
          <w:szCs w:val="16"/>
          <w:lang w:val="en-GB"/>
        </w:rPr>
        <w:t xml:space="preserve">to </w:t>
      </w:r>
      <w:r w:rsidRPr="002F6471">
        <w:rPr>
          <w:rStyle w:val="Footnote1"/>
          <w:rFonts w:ascii="Times New Roman" w:hAnsi="Times New Roman" w:cs="Times New Roman"/>
          <w:sz w:val="16"/>
          <w:szCs w:val="16"/>
          <w:lang w:val="en-GB" w:eastAsia="bg-BG" w:bidi="bg-BG"/>
        </w:rPr>
        <w:t xml:space="preserve">07 07 02, 27% </w:t>
      </w:r>
      <w:r w:rsidRPr="002F6471">
        <w:rPr>
          <w:rStyle w:val="Footnote1"/>
          <w:rFonts w:ascii="Times New Roman" w:hAnsi="Times New Roman" w:cs="Times New Roman"/>
          <w:sz w:val="16"/>
          <w:szCs w:val="16"/>
          <w:lang w:val="en-GB"/>
        </w:rPr>
        <w:t xml:space="preserve">to </w:t>
      </w:r>
      <w:r w:rsidRPr="002F6471">
        <w:rPr>
          <w:rStyle w:val="Footnote1"/>
          <w:rFonts w:ascii="Times New Roman" w:hAnsi="Times New Roman" w:cs="Times New Roman"/>
          <w:sz w:val="16"/>
          <w:szCs w:val="16"/>
          <w:lang w:val="en-GB" w:eastAsia="bg-BG" w:bidi="bg-BG"/>
        </w:rPr>
        <w:t xml:space="preserve">07 07 03, </w:t>
      </w:r>
      <w:r w:rsidRPr="002F6471">
        <w:rPr>
          <w:rStyle w:val="Footnote1"/>
          <w:rFonts w:ascii="Times New Roman" w:hAnsi="Times New Roman" w:cs="Times New Roman"/>
          <w:sz w:val="16"/>
          <w:szCs w:val="16"/>
          <w:lang w:val="en-GB"/>
        </w:rPr>
        <w:t xml:space="preserve">and the remaining </w:t>
      </w:r>
      <w:r w:rsidRPr="002F6471">
        <w:rPr>
          <w:rStyle w:val="Footnote1"/>
          <w:rFonts w:ascii="Times New Roman" w:hAnsi="Times New Roman" w:cs="Times New Roman"/>
          <w:sz w:val="16"/>
          <w:szCs w:val="16"/>
          <w:lang w:val="en-GB" w:eastAsia="bg-BG" w:bidi="bg-BG"/>
        </w:rPr>
        <w:t xml:space="preserve">10% </w:t>
      </w:r>
      <w:r w:rsidRPr="002F6471">
        <w:rPr>
          <w:rStyle w:val="Footnote1"/>
          <w:rFonts w:ascii="Times New Roman" w:hAnsi="Times New Roman" w:cs="Times New Roman"/>
          <w:sz w:val="16"/>
          <w:szCs w:val="16"/>
          <w:lang w:val="en-GB"/>
        </w:rPr>
        <w:t>flexibility margin to any of the three lines, with priority given to actions that support the promotion of the rule of law</w:t>
      </w:r>
      <w:r w:rsidRPr="002F6471">
        <w:rPr>
          <w:rStyle w:val="Footnote1"/>
          <w:rFonts w:ascii="Times New Roman" w:hAnsi="Times New Roman" w:cs="Times New Roman"/>
          <w:sz w:val="16"/>
          <w:szCs w:val="16"/>
          <w:lang w:val="en-GB" w:eastAsia="bg-BG" w:bidi="bg-BG"/>
        </w:rPr>
        <w:t>.</w:t>
      </w:r>
    </w:p>
  </w:footnote>
  <w:footnote w:id="37">
    <w:p w14:paraId="51E41687" w14:textId="244952D1"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Fonts w:ascii="Times New Roman" w:hAnsi="Times New Roman" w:cs="Times New Roman"/>
          <w:sz w:val="16"/>
          <w:szCs w:val="16"/>
        </w:rPr>
        <w:t xml:space="preserve"> </w:t>
      </w:r>
      <w:hyperlink r:id="rId20" w:history="1">
        <w:r w:rsidRPr="00AC6E44">
          <w:rPr>
            <w:rStyle w:val="Footnote1"/>
            <w:rFonts w:ascii="Times New Roman" w:hAnsi="Times New Roman" w:cs="Times New Roman"/>
            <w:sz w:val="16"/>
            <w:szCs w:val="16"/>
            <w:u w:val="single"/>
          </w:rPr>
          <w:t>List of participating third countries</w:t>
        </w:r>
      </w:hyperlink>
      <w:r w:rsidRPr="00AC6E44">
        <w:rPr>
          <w:rFonts w:ascii="Times New Roman" w:hAnsi="Times New Roman" w:cs="Times New Roman"/>
          <w:sz w:val="16"/>
          <w:szCs w:val="16"/>
        </w:rPr>
        <w:t>.</w:t>
      </w:r>
    </w:p>
  </w:footnote>
  <w:footnote w:id="38">
    <w:p w14:paraId="5406BBDD" w14:textId="6F16949C" w:rsidR="007F1F8A" w:rsidRPr="00AC6E44" w:rsidRDefault="007F1F8A" w:rsidP="00EB3203">
      <w:pPr>
        <w:spacing w:before="0" w:after="0"/>
        <w:contextualSpacing/>
        <w:mirrorIndents/>
        <w:rPr>
          <w:sz w:val="16"/>
          <w:szCs w:val="16"/>
        </w:rPr>
      </w:pPr>
      <w:r w:rsidRPr="00AC6E44">
        <w:rPr>
          <w:rStyle w:val="FootnoteReference"/>
          <w:sz w:val="16"/>
          <w:szCs w:val="16"/>
        </w:rPr>
        <w:footnoteRef/>
      </w:r>
      <w:r w:rsidRPr="00AC6E44">
        <w:rPr>
          <w:sz w:val="16"/>
          <w:szCs w:val="16"/>
        </w:rPr>
        <w:t xml:space="preserve"> 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39">
    <w:p w14:paraId="119B4F2E" w14:textId="7F2E6525"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21" w:history="1">
        <w:r w:rsidRPr="008C49CF">
          <w:rPr>
            <w:rStyle w:val="Hyperlink"/>
            <w:color w:val="auto"/>
            <w:sz w:val="16"/>
            <w:szCs w:val="16"/>
            <w:shd w:val="clear" w:color="auto" w:fill="FFFFFF"/>
            <w:lang w:val="en-US"/>
          </w:rPr>
          <w:t>European e-Justice Strategy 2024-2028</w:t>
        </w:r>
      </w:hyperlink>
      <w:r w:rsidRPr="008C49CF">
        <w:rPr>
          <w:sz w:val="16"/>
          <w:szCs w:val="16"/>
          <w:shd w:val="clear" w:color="auto" w:fill="FFFFFF"/>
          <w:lang w:val="en-US"/>
        </w:rPr>
        <w:t>,</w:t>
      </w:r>
      <w:r w:rsidRPr="008C49CF">
        <w:rPr>
          <w:sz w:val="16"/>
          <w:szCs w:val="16"/>
          <w:lang w:val="en-US"/>
        </w:rPr>
        <w:t xml:space="preserve"> </w:t>
      </w:r>
      <w:r w:rsidRPr="00AC6E44">
        <w:rPr>
          <w:sz w:val="16"/>
          <w:szCs w:val="16"/>
          <w:shd w:val="clear" w:color="auto" w:fill="FFFFFF"/>
        </w:rPr>
        <w:t>OJ C, C/2025/437, 16.1.2025, ELI: </w:t>
      </w:r>
      <w:hyperlink r:id="rId22" w:tgtFrame="_blank" w:tooltip="Gives access to this document through its ELI URI." w:history="1">
        <w:r w:rsidRPr="00AC6E44">
          <w:rPr>
            <w:sz w:val="16"/>
            <w:szCs w:val="16"/>
            <w:u w:val="single"/>
          </w:rPr>
          <w:t>http://data.europa.eu/eli/C/2025/437/oj</w:t>
        </w:r>
      </w:hyperlink>
      <w:r w:rsidRPr="008C49CF">
        <w:rPr>
          <w:sz w:val="16"/>
          <w:szCs w:val="16"/>
          <w:lang w:val="en-US"/>
        </w:rPr>
        <w:t>.</w:t>
      </w:r>
    </w:p>
  </w:footnote>
  <w:footnote w:id="40">
    <w:p w14:paraId="69B2C312" w14:textId="286AB9E1" w:rsidR="007F1F8A" w:rsidRPr="00AC6E44" w:rsidRDefault="007F1F8A" w:rsidP="00EB3203">
      <w:pPr>
        <w:spacing w:before="0" w:after="0"/>
        <w:contextualSpacing/>
        <w:mirrorIndents/>
        <w:rPr>
          <w:sz w:val="16"/>
          <w:szCs w:val="16"/>
        </w:rPr>
      </w:pPr>
      <w:r w:rsidRPr="00AC6E44">
        <w:rPr>
          <w:rStyle w:val="FootnoteReference"/>
          <w:sz w:val="16"/>
          <w:szCs w:val="16"/>
        </w:rPr>
        <w:footnoteRef/>
      </w:r>
      <w:r w:rsidRPr="00AC6E44">
        <w:rPr>
          <w:sz w:val="16"/>
          <w:szCs w:val="16"/>
        </w:rPr>
        <w:t xml:space="preserve"> 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41">
    <w:p w14:paraId="5F60A426" w14:textId="77777777"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bookmarkStart w:id="42" w:name="_Hlk205452990"/>
      <w:r w:rsidRPr="00AC6E44">
        <w:rPr>
          <w:sz w:val="16"/>
          <w:szCs w:val="16"/>
          <w:shd w:val="clear" w:color="auto" w:fill="FFFFFF"/>
        </w:rPr>
        <w:t xml:space="preserve">Council Regulation (EU) 2016/369 of 15 March 2016 on the provision of emergency support within the Union, </w:t>
      </w:r>
      <w:r w:rsidRPr="00AC6E44">
        <w:rPr>
          <w:rStyle w:val="Emphasis"/>
          <w:i w:val="0"/>
          <w:iCs w:val="0"/>
          <w:sz w:val="16"/>
          <w:szCs w:val="16"/>
          <w:shd w:val="clear" w:color="auto" w:fill="FFFFFF"/>
        </w:rPr>
        <w:t xml:space="preserve">OJ L 70, 16.3.2016, pp. 1–6, </w:t>
      </w:r>
      <w:r w:rsidRPr="00AC6E44">
        <w:rPr>
          <w:sz w:val="16"/>
          <w:szCs w:val="16"/>
          <w:shd w:val="clear" w:color="auto" w:fill="FFFFFF"/>
        </w:rPr>
        <w:t>ELI: </w:t>
      </w:r>
      <w:hyperlink r:id="rId23" w:tooltip="Gives access to this document through its ELI URI." w:history="1">
        <w:r w:rsidRPr="00AC6E44">
          <w:rPr>
            <w:sz w:val="16"/>
            <w:szCs w:val="16"/>
            <w:u w:val="single"/>
            <w:shd w:val="clear" w:color="auto" w:fill="FFFFFF"/>
          </w:rPr>
          <w:t>http://data.europa.eu/eli/reg/2016/369/oj</w:t>
        </w:r>
      </w:hyperlink>
      <w:r w:rsidRPr="00AC6E44">
        <w:rPr>
          <w:sz w:val="16"/>
          <w:szCs w:val="16"/>
        </w:rPr>
        <w:t>.</w:t>
      </w:r>
      <w:bookmarkEnd w:id="42"/>
    </w:p>
  </w:footnote>
  <w:footnote w:id="42">
    <w:p w14:paraId="32BF0163" w14:textId="7AE655EB"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For the full title and </w:t>
      </w:r>
      <w:r w:rsidRPr="00AC6E44">
        <w:rPr>
          <w:rStyle w:val="cf01"/>
          <w:rFonts w:ascii="Times New Roman" w:hAnsi="Times New Roman" w:cs="Times New Roman"/>
          <w:sz w:val="16"/>
          <w:szCs w:val="16"/>
        </w:rPr>
        <w:t>publication reference (OJ and ELI)</w:t>
      </w:r>
      <w:r w:rsidRPr="00AC6E44">
        <w:rPr>
          <w:sz w:val="16"/>
          <w:szCs w:val="16"/>
        </w:rPr>
        <w:t xml:space="preserve">, </w:t>
      </w:r>
      <w:r w:rsidRPr="00AC6E44">
        <w:rPr>
          <w:rStyle w:val="Footnote1"/>
          <w:sz w:val="16"/>
          <w:szCs w:val="16"/>
        </w:rPr>
        <w:t>see the ‘Legislative instrument references’ section.</w:t>
      </w:r>
    </w:p>
  </w:footnote>
  <w:footnote w:id="43">
    <w:p w14:paraId="3E4D9480" w14:textId="77777777"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r w:rsidRPr="00AC6E44">
        <w:rPr>
          <w:sz w:val="16"/>
          <w:szCs w:val="16"/>
          <w:shd w:val="clear" w:color="auto" w:fill="FFFFFF"/>
        </w:rPr>
        <w:t xml:space="preserve">Council Regulation (EU) 2016/369 of 15 March 2016 on the provision of emergency support within the Union, </w:t>
      </w:r>
      <w:r w:rsidRPr="00AC6E44">
        <w:rPr>
          <w:rStyle w:val="Emphasis"/>
          <w:i w:val="0"/>
          <w:iCs w:val="0"/>
          <w:sz w:val="16"/>
          <w:szCs w:val="16"/>
          <w:shd w:val="clear" w:color="auto" w:fill="FFFFFF"/>
        </w:rPr>
        <w:t xml:space="preserve">OJ L 70, 16.3.2016, pp. 1–6, </w:t>
      </w:r>
      <w:r w:rsidRPr="00AC6E44">
        <w:rPr>
          <w:sz w:val="16"/>
          <w:szCs w:val="16"/>
          <w:shd w:val="clear" w:color="auto" w:fill="FFFFFF"/>
        </w:rPr>
        <w:t>ELI: </w:t>
      </w:r>
      <w:hyperlink r:id="rId24" w:tooltip="Gives access to this document through its ELI URI." w:history="1">
        <w:r w:rsidRPr="00AC6E44">
          <w:rPr>
            <w:sz w:val="16"/>
            <w:szCs w:val="16"/>
            <w:u w:val="single"/>
            <w:shd w:val="clear" w:color="auto" w:fill="FFFFFF"/>
          </w:rPr>
          <w:t>http://data.europa.eu/eli/reg/2016/369/oj</w:t>
        </w:r>
      </w:hyperlink>
      <w:r w:rsidRPr="00AC6E44">
        <w:rPr>
          <w:sz w:val="16"/>
          <w:szCs w:val="16"/>
        </w:rPr>
        <w:t>.</w:t>
      </w:r>
    </w:p>
  </w:footnote>
  <w:footnote w:id="44">
    <w:p w14:paraId="5259D6D2" w14:textId="77777777"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r w:rsidRPr="00AC6E44">
        <w:rPr>
          <w:sz w:val="16"/>
          <w:szCs w:val="16"/>
          <w:shd w:val="clear" w:color="auto" w:fill="FFFFFF"/>
        </w:rPr>
        <w:t xml:space="preserve">Council Regulation (EU) 2016/369 of 15 March 2016 on the provision of emergency support within the Union, </w:t>
      </w:r>
      <w:r w:rsidRPr="00AC6E44">
        <w:rPr>
          <w:rStyle w:val="Emphasis"/>
          <w:i w:val="0"/>
          <w:iCs w:val="0"/>
          <w:sz w:val="16"/>
          <w:szCs w:val="16"/>
          <w:shd w:val="clear" w:color="auto" w:fill="FFFFFF"/>
        </w:rPr>
        <w:t xml:space="preserve">OJ L 70, 16.3.2016, pp. 1–6, </w:t>
      </w:r>
      <w:r w:rsidRPr="00AC6E44">
        <w:rPr>
          <w:sz w:val="16"/>
          <w:szCs w:val="16"/>
          <w:shd w:val="clear" w:color="auto" w:fill="FFFFFF"/>
        </w:rPr>
        <w:t>ELI: </w:t>
      </w:r>
      <w:hyperlink r:id="rId25" w:tooltip="Gives access to this document through its ELI URI." w:history="1">
        <w:r w:rsidRPr="00AC6E44">
          <w:rPr>
            <w:sz w:val="16"/>
            <w:szCs w:val="16"/>
            <w:u w:val="single"/>
            <w:shd w:val="clear" w:color="auto" w:fill="FFFFFF"/>
          </w:rPr>
          <w:t>http://data.europa.eu/eli/reg/2016/369/oj</w:t>
        </w:r>
      </w:hyperlink>
      <w:r w:rsidRPr="00AC6E44">
        <w:rPr>
          <w:sz w:val="16"/>
          <w:szCs w:val="16"/>
        </w:rPr>
        <w:t>.</w:t>
      </w:r>
    </w:p>
  </w:footnote>
  <w:footnote w:id="45">
    <w:p w14:paraId="16305749" w14:textId="0EC77E80"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26" w:history="1">
        <w:r w:rsidRPr="00AC6E44">
          <w:rPr>
            <w:rStyle w:val="Hyperlink"/>
            <w:rFonts w:eastAsia="Times New Roman"/>
            <w:color w:val="auto"/>
            <w:sz w:val="16"/>
            <w:szCs w:val="16"/>
            <w:lang w:eastAsia="hr-HR" w:bidi="hr-HR"/>
          </w:rPr>
          <w:t>Council of Europe European Prison Rules</w:t>
        </w:r>
      </w:hyperlink>
      <w:r w:rsidRPr="00AC6E44">
        <w:rPr>
          <w:rFonts w:eastAsia="Times New Roman"/>
          <w:sz w:val="16"/>
          <w:szCs w:val="16"/>
          <w:lang w:eastAsia="hr-HR" w:bidi="hr-HR"/>
        </w:rPr>
        <w:t>.</w:t>
      </w:r>
    </w:p>
  </w:footnote>
  <w:footnote w:id="46">
    <w:p w14:paraId="486D47C6" w14:textId="6ABD9246"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r w:rsidRPr="00AC6E44">
        <w:rPr>
          <w:sz w:val="16"/>
          <w:szCs w:val="16"/>
          <w:shd w:val="clear" w:color="auto" w:fill="FFFFFF"/>
        </w:rPr>
        <w:t xml:space="preserve">Commission Recommendation (EU) 2023/681 of 8 December 2022 on procedural rights of suspects and accused persons subject to pre-trial detention and on material detention conditions, </w:t>
      </w:r>
      <w:r w:rsidRPr="00AC6E44">
        <w:rPr>
          <w:rStyle w:val="Emphasis"/>
          <w:sz w:val="16"/>
          <w:szCs w:val="16"/>
          <w:shd w:val="clear" w:color="auto" w:fill="FFFFFF"/>
        </w:rPr>
        <w:t xml:space="preserve">OJ L 86, 24.3.2023, pp. 44–57, </w:t>
      </w:r>
      <w:r w:rsidRPr="00AC6E44">
        <w:rPr>
          <w:sz w:val="16"/>
          <w:szCs w:val="16"/>
          <w:shd w:val="clear" w:color="auto" w:fill="FFFFFF"/>
        </w:rPr>
        <w:t>ELI: </w:t>
      </w:r>
      <w:hyperlink r:id="rId27" w:tooltip="Gives access to this document through its ELI URI." w:history="1">
        <w:r w:rsidRPr="00AC6E44">
          <w:rPr>
            <w:sz w:val="16"/>
            <w:szCs w:val="16"/>
            <w:u w:val="single"/>
            <w:shd w:val="clear" w:color="auto" w:fill="FFFFFF"/>
          </w:rPr>
          <w:t>http://data.europa.eu/eli/reco/2023/681/oj</w:t>
        </w:r>
      </w:hyperlink>
      <w:r w:rsidRPr="00AC6E44">
        <w:rPr>
          <w:sz w:val="16"/>
          <w:szCs w:val="16"/>
        </w:rPr>
        <w:t>.</w:t>
      </w:r>
    </w:p>
  </w:footnote>
  <w:footnote w:id="47">
    <w:p w14:paraId="36412697" w14:textId="66FF7ED7" w:rsidR="007F1F8A" w:rsidRPr="00AC6E44" w:rsidRDefault="007F1F8A" w:rsidP="00EB3203">
      <w:pPr>
        <w:pStyle w:val="Footnote10"/>
        <w:contextualSpacing/>
        <w:mirrorIndents/>
        <w:jc w:val="both"/>
        <w:rPr>
          <w:rFonts w:ascii="Times New Roman" w:hAnsi="Times New Roman" w:cs="Times New Roman"/>
          <w:sz w:val="16"/>
          <w:szCs w:val="16"/>
          <w:lang w:val="en-GB"/>
        </w:rPr>
      </w:pPr>
      <w:r w:rsidRPr="00AC6E44">
        <w:rPr>
          <w:rStyle w:val="FootnoteReference"/>
          <w:rFonts w:ascii="Times New Roman" w:hAnsi="Times New Roman" w:cs="Times New Roman"/>
          <w:sz w:val="16"/>
          <w:szCs w:val="16"/>
          <w:lang w:val="en-GB"/>
        </w:rPr>
        <w:footnoteRef/>
      </w:r>
      <w:r>
        <w:rPr>
          <w:rStyle w:val="Footnote1"/>
          <w:rFonts w:ascii="Times New Roman" w:hAnsi="Times New Roman" w:cs="Times New Roman"/>
          <w:sz w:val="16"/>
          <w:szCs w:val="16"/>
          <w:u w:val="single"/>
          <w:lang w:val="en-GB"/>
        </w:rPr>
        <w:t xml:space="preserve"> </w:t>
      </w:r>
      <w:hyperlink r:id="rId28" w:history="1">
        <w:r w:rsidRPr="00AC6E44">
          <w:rPr>
            <w:rFonts w:ascii="Times New Roman" w:hAnsi="Times New Roman" w:cs="Times New Roman"/>
            <w:color w:val="333333"/>
            <w:sz w:val="16"/>
            <w:szCs w:val="16"/>
            <w:shd w:val="clear" w:color="auto" w:fill="FFFFFF"/>
          </w:rPr>
          <w:t>Council Decision of 5 October 2006 on the accession of the Community to the Hague Conference on Private International Law</w:t>
        </w:r>
        <w:r w:rsidRPr="00AC6E44">
          <w:rPr>
            <w:rStyle w:val="Hyperlink"/>
            <w:rFonts w:ascii="Times New Roman" w:hAnsi="Times New Roman" w:cs="Times New Roman"/>
            <w:sz w:val="16"/>
            <w:szCs w:val="16"/>
            <w:lang w:val="en-GB"/>
          </w:rPr>
          <w:t>,</w:t>
        </w:r>
      </w:hyperlink>
      <w:r w:rsidRPr="00AC6E44">
        <w:rPr>
          <w:rStyle w:val="Footnote1"/>
          <w:rFonts w:ascii="Times New Roman" w:hAnsi="Times New Roman" w:cs="Times New Roman"/>
          <w:sz w:val="16"/>
          <w:szCs w:val="16"/>
          <w:lang w:val="en-GB"/>
        </w:rPr>
        <w:t xml:space="preserve"> </w:t>
      </w:r>
      <w:r w:rsidRPr="00AC6E44">
        <w:rPr>
          <w:rStyle w:val="Emphasis"/>
          <w:rFonts w:ascii="Times New Roman" w:hAnsi="Times New Roman" w:cs="Times New Roman"/>
          <w:color w:val="333333"/>
          <w:sz w:val="16"/>
          <w:szCs w:val="16"/>
          <w:shd w:val="clear" w:color="auto" w:fill="FFFFFF"/>
        </w:rPr>
        <w:t xml:space="preserve">OJ L 297, 26.10.2006, pp. 1–14, </w:t>
      </w:r>
      <w:r w:rsidRPr="00AC6E44">
        <w:rPr>
          <w:rFonts w:ascii="Times New Roman" w:hAnsi="Times New Roman" w:cs="Times New Roman"/>
          <w:color w:val="333333"/>
          <w:sz w:val="16"/>
          <w:szCs w:val="16"/>
          <w:shd w:val="clear" w:color="auto" w:fill="FFFFFF"/>
          <w:lang w:val="en-GB"/>
        </w:rPr>
        <w:t>ELI: </w:t>
      </w:r>
      <w:hyperlink r:id="rId29" w:tooltip="Gives access to this document through its ELI URI." w:history="1">
        <w:r w:rsidRPr="00AC6E44">
          <w:rPr>
            <w:rFonts w:ascii="Times New Roman" w:hAnsi="Times New Roman" w:cs="Times New Roman"/>
            <w:color w:val="0E47CB"/>
            <w:sz w:val="16"/>
            <w:szCs w:val="16"/>
            <w:u w:val="single"/>
            <w:shd w:val="clear" w:color="auto" w:fill="FFFFFF"/>
            <w:lang w:val="en-GB"/>
          </w:rPr>
          <w:t>http://data.europa.eu/eli/dec/2006/719/oj</w:t>
        </w:r>
      </w:hyperlink>
      <w:r w:rsidRPr="00AC6E44">
        <w:rPr>
          <w:rFonts w:ascii="Times New Roman" w:hAnsi="Times New Roman" w:cs="Times New Roman"/>
          <w:sz w:val="16"/>
          <w:szCs w:val="16"/>
          <w:lang w:val="en-GB"/>
        </w:rPr>
        <w:t>.</w:t>
      </w:r>
    </w:p>
  </w:footnote>
  <w:footnote w:id="48">
    <w:p w14:paraId="3146BED9" w14:textId="70935936" w:rsidR="007F1F8A" w:rsidRPr="00AC6E44" w:rsidRDefault="007F1F8A" w:rsidP="00EB3203">
      <w:pPr>
        <w:pStyle w:val="FootnoteText"/>
        <w:ind w:left="0" w:firstLine="0"/>
        <w:contextualSpacing/>
        <w:mirrorIndents/>
        <w:rPr>
          <w:sz w:val="16"/>
          <w:szCs w:val="16"/>
          <w:lang w:val="en-US"/>
        </w:rPr>
      </w:pPr>
      <w:r w:rsidRPr="00AC6E44">
        <w:rPr>
          <w:rStyle w:val="FootnoteReference"/>
          <w:sz w:val="16"/>
          <w:szCs w:val="16"/>
        </w:rPr>
        <w:footnoteRef/>
      </w:r>
      <w:r w:rsidRPr="00AC6E44">
        <w:rPr>
          <w:sz w:val="16"/>
          <w:szCs w:val="16"/>
        </w:rPr>
        <w:t xml:space="preserve"> </w:t>
      </w:r>
      <w:hyperlink r:id="rId30" w:history="1">
        <w:r w:rsidRPr="00AC6E44">
          <w:rPr>
            <w:rStyle w:val="Hyperlink"/>
            <w:color w:val="auto"/>
            <w:sz w:val="16"/>
            <w:szCs w:val="16"/>
          </w:rPr>
          <w:t>Statute of the Hague Conference on Private International Law</w:t>
        </w:r>
      </w:hyperlink>
      <w:r w:rsidRPr="00AC6E4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AA40D8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8C8A2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954A5A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EDC7F9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542CBD"/>
    <w:multiLevelType w:val="hybridMultilevel"/>
    <w:tmpl w:val="15A25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6064E"/>
    <w:multiLevelType w:val="hybridMultilevel"/>
    <w:tmpl w:val="1F7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E3F27"/>
    <w:multiLevelType w:val="hybridMultilevel"/>
    <w:tmpl w:val="CC56986C"/>
    <w:lvl w:ilvl="0" w:tplc="73F4D0C6">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5428AD"/>
    <w:multiLevelType w:val="hybridMultilevel"/>
    <w:tmpl w:val="818E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D0AF4"/>
    <w:multiLevelType w:val="hybridMultilevel"/>
    <w:tmpl w:val="20FE1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761DA4"/>
    <w:multiLevelType w:val="hybridMultilevel"/>
    <w:tmpl w:val="B4C46D8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1657B84"/>
    <w:multiLevelType w:val="multilevel"/>
    <w:tmpl w:val="8D6E3CF2"/>
    <w:lvl w:ilvl="0">
      <w:start w:val="1"/>
      <w:numFmt w:val="bullet"/>
      <w:lvlText w:val="•"/>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EE330E"/>
    <w:multiLevelType w:val="multilevel"/>
    <w:tmpl w:val="B9E072CA"/>
    <w:lvl w:ilvl="0">
      <w:start w:val="1"/>
      <w:numFmt w:val="bullet"/>
      <w:lvlText w:val="•"/>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C906E40"/>
    <w:multiLevelType w:val="hybridMultilevel"/>
    <w:tmpl w:val="CA5CCBFA"/>
    <w:lvl w:ilvl="0" w:tplc="1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09C2826"/>
    <w:multiLevelType w:val="hybridMultilevel"/>
    <w:tmpl w:val="C73263E8"/>
    <w:lvl w:ilvl="0" w:tplc="5E3C8E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E35DC4"/>
    <w:multiLevelType w:val="hybridMultilevel"/>
    <w:tmpl w:val="F1F00654"/>
    <w:lvl w:ilvl="0" w:tplc="D4C8B0C8">
      <w:numFmt w:val="bullet"/>
      <w:lvlText w:val=""/>
      <w:lvlJc w:val="left"/>
      <w:pPr>
        <w:ind w:left="720" w:hanging="360"/>
      </w:pPr>
      <w:rPr>
        <w:rFonts w:ascii="Symbol" w:eastAsia="Courier New"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8BD1638"/>
    <w:multiLevelType w:val="hybridMultilevel"/>
    <w:tmpl w:val="E3F49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8D05E62"/>
    <w:multiLevelType w:val="multilevel"/>
    <w:tmpl w:val="210E8C4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9803E4"/>
    <w:multiLevelType w:val="hybridMultilevel"/>
    <w:tmpl w:val="DE4CCE02"/>
    <w:lvl w:ilvl="0" w:tplc="63E857F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9034AA"/>
    <w:multiLevelType w:val="hybridMultilevel"/>
    <w:tmpl w:val="3F6C5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CC2B13"/>
    <w:multiLevelType w:val="hybridMultilevel"/>
    <w:tmpl w:val="8660B630"/>
    <w:lvl w:ilvl="0" w:tplc="3266E832">
      <w:start w:val="100"/>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6B875FC"/>
    <w:multiLevelType w:val="hybridMultilevel"/>
    <w:tmpl w:val="1A62AB16"/>
    <w:lvl w:ilvl="0" w:tplc="63E857F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D3267F7"/>
    <w:multiLevelType w:val="hybridMultilevel"/>
    <w:tmpl w:val="86C81676"/>
    <w:lvl w:ilvl="0" w:tplc="D4C8B0C8">
      <w:numFmt w:val="bullet"/>
      <w:lvlText w:val=""/>
      <w:lvlJc w:val="left"/>
      <w:pPr>
        <w:ind w:left="720" w:hanging="360"/>
      </w:pPr>
      <w:rPr>
        <w:rFonts w:ascii="Symbol" w:eastAsia="Courier New"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0569A4"/>
    <w:multiLevelType w:val="multilevel"/>
    <w:tmpl w:val="25A6DC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4C5D5EFC"/>
    <w:multiLevelType w:val="hybridMultilevel"/>
    <w:tmpl w:val="AF865CE4"/>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4F983D32"/>
    <w:multiLevelType w:val="hybridMultilevel"/>
    <w:tmpl w:val="AF549920"/>
    <w:lvl w:ilvl="0" w:tplc="D4C8B0C8">
      <w:numFmt w:val="bullet"/>
      <w:lvlText w:val=""/>
      <w:lvlJc w:val="left"/>
      <w:pPr>
        <w:ind w:left="720" w:hanging="360"/>
      </w:pPr>
      <w:rPr>
        <w:rFonts w:ascii="Symbol" w:eastAsia="Courier New"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15:restartNumberingAfterBreak="0">
    <w:nsid w:val="55EE4D5A"/>
    <w:multiLevelType w:val="hybridMultilevel"/>
    <w:tmpl w:val="5F523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64247E53"/>
    <w:multiLevelType w:val="hybridMultilevel"/>
    <w:tmpl w:val="A3741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2" w15:restartNumberingAfterBreak="0">
    <w:nsid w:val="67F15B48"/>
    <w:multiLevelType w:val="hybridMultilevel"/>
    <w:tmpl w:val="3726265E"/>
    <w:lvl w:ilvl="0" w:tplc="D4C8B0C8">
      <w:numFmt w:val="bullet"/>
      <w:lvlText w:val=""/>
      <w:lvlJc w:val="left"/>
      <w:pPr>
        <w:ind w:left="360" w:hanging="360"/>
      </w:pPr>
      <w:rPr>
        <w:rFonts w:ascii="Symbol" w:eastAsia="Courier New" w:hAnsi="Symbol"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6C106DA3"/>
    <w:multiLevelType w:val="hybridMultilevel"/>
    <w:tmpl w:val="A634A2DE"/>
    <w:lvl w:ilvl="0" w:tplc="63E857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6D3B1C"/>
    <w:multiLevelType w:val="multilevel"/>
    <w:tmpl w:val="CFD0E8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CF13D6"/>
    <w:multiLevelType w:val="hybridMultilevel"/>
    <w:tmpl w:val="9120EF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45B110D"/>
    <w:multiLevelType w:val="hybridMultilevel"/>
    <w:tmpl w:val="CBC25550"/>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78EC470E"/>
    <w:multiLevelType w:val="hybridMultilevel"/>
    <w:tmpl w:val="55CE3A4C"/>
    <w:lvl w:ilvl="0" w:tplc="63E8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101D53"/>
    <w:multiLevelType w:val="hybridMultilevel"/>
    <w:tmpl w:val="6644CC00"/>
    <w:lvl w:ilvl="0" w:tplc="D4C8B0C8">
      <w:numFmt w:val="bullet"/>
      <w:lvlText w:val=""/>
      <w:lvlJc w:val="left"/>
      <w:pPr>
        <w:ind w:left="720" w:hanging="360"/>
      </w:pPr>
      <w:rPr>
        <w:rFonts w:ascii="Symbol" w:eastAsia="Courier New"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A653AB0"/>
    <w:multiLevelType w:val="hybridMultilevel"/>
    <w:tmpl w:val="502CFED2"/>
    <w:lvl w:ilvl="0" w:tplc="63E857FC">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B757881"/>
    <w:multiLevelType w:val="hybridMultilevel"/>
    <w:tmpl w:val="7F7631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2" w15:restartNumberingAfterBreak="0">
    <w:nsid w:val="7CF52669"/>
    <w:multiLevelType w:val="hybridMultilevel"/>
    <w:tmpl w:val="A35ECF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71117296">
    <w:abstractNumId w:val="18"/>
  </w:num>
  <w:num w:numId="2" w16cid:durableId="700984009">
    <w:abstractNumId w:val="44"/>
  </w:num>
  <w:num w:numId="3" w16cid:durableId="528418634">
    <w:abstractNumId w:val="10"/>
  </w:num>
  <w:num w:numId="4" w16cid:durableId="1216039209">
    <w:abstractNumId w:val="27"/>
  </w:num>
  <w:num w:numId="5" w16cid:durableId="1815412947">
    <w:abstractNumId w:val="11"/>
  </w:num>
  <w:num w:numId="6" w16cid:durableId="1825929777">
    <w:abstractNumId w:val="24"/>
  </w:num>
  <w:num w:numId="7" w16cid:durableId="1863860022">
    <w:abstractNumId w:val="46"/>
  </w:num>
  <w:num w:numId="8" w16cid:durableId="609823641">
    <w:abstractNumId w:val="32"/>
  </w:num>
  <w:num w:numId="9" w16cid:durableId="736511081">
    <w:abstractNumId w:val="13"/>
  </w:num>
  <w:num w:numId="10" w16cid:durableId="1256866372">
    <w:abstractNumId w:val="9"/>
  </w:num>
  <w:num w:numId="11" w16cid:durableId="880358265">
    <w:abstractNumId w:val="26"/>
  </w:num>
  <w:num w:numId="12" w16cid:durableId="2114662270">
    <w:abstractNumId w:val="33"/>
  </w:num>
  <w:num w:numId="13" w16cid:durableId="1238512392">
    <w:abstractNumId w:val="16"/>
  </w:num>
  <w:num w:numId="14" w16cid:durableId="1650133834">
    <w:abstractNumId w:val="48"/>
  </w:num>
  <w:num w:numId="15" w16cid:durableId="272325405">
    <w:abstractNumId w:val="42"/>
  </w:num>
  <w:num w:numId="16" w16cid:durableId="1510675489">
    <w:abstractNumId w:val="38"/>
  </w:num>
  <w:num w:numId="17" w16cid:durableId="1125778678">
    <w:abstractNumId w:val="28"/>
  </w:num>
  <w:num w:numId="18" w16cid:durableId="949582175">
    <w:abstractNumId w:val="41"/>
  </w:num>
  <w:num w:numId="19" w16cid:durableId="1387073072">
    <w:abstractNumId w:val="21"/>
  </w:num>
  <w:num w:numId="20" w16cid:durableId="424959446">
    <w:abstractNumId w:val="29"/>
  </w:num>
  <w:num w:numId="21" w16cid:durableId="649750157">
    <w:abstractNumId w:val="30"/>
  </w:num>
  <w:num w:numId="22" w16cid:durableId="1449280954">
    <w:abstractNumId w:val="15"/>
  </w:num>
  <w:num w:numId="23" w16cid:durableId="649212842">
    <w:abstractNumId w:val="40"/>
  </w:num>
  <w:num w:numId="24" w16cid:durableId="1868719031">
    <w:abstractNumId w:val="12"/>
  </w:num>
  <w:num w:numId="25" w16cid:durableId="495345664">
    <w:abstractNumId w:val="31"/>
  </w:num>
  <w:num w:numId="26" w16cid:durableId="935330406">
    <w:abstractNumId w:val="36"/>
  </w:num>
  <w:num w:numId="27" w16cid:durableId="1505052940">
    <w:abstractNumId w:val="37"/>
  </w:num>
  <w:num w:numId="28" w16cid:durableId="461387002">
    <w:abstractNumId w:val="20"/>
  </w:num>
  <w:num w:numId="29" w16cid:durableId="233975228">
    <w:abstractNumId w:val="34"/>
  </w:num>
  <w:num w:numId="30" w16cid:durableId="1265916488">
    <w:abstractNumId w:val="51"/>
  </w:num>
  <w:num w:numId="31" w16cid:durableId="767777829">
    <w:abstractNumId w:val="3"/>
  </w:num>
  <w:num w:numId="32" w16cid:durableId="1221601244">
    <w:abstractNumId w:val="2"/>
  </w:num>
  <w:num w:numId="33" w16cid:durableId="414933446">
    <w:abstractNumId w:val="1"/>
  </w:num>
  <w:num w:numId="34" w16cid:durableId="2087989209">
    <w:abstractNumId w:val="0"/>
  </w:num>
  <w:num w:numId="35" w16cid:durableId="1315910553">
    <w:abstractNumId w:val="52"/>
  </w:num>
  <w:num w:numId="36" w16cid:durableId="1663654745">
    <w:abstractNumId w:val="35"/>
  </w:num>
  <w:num w:numId="37" w16cid:durableId="1954051281">
    <w:abstractNumId w:val="25"/>
  </w:num>
  <w:num w:numId="38" w16cid:durableId="551579311">
    <w:abstractNumId w:val="19"/>
  </w:num>
  <w:num w:numId="39" w16cid:durableId="2031451873">
    <w:abstractNumId w:val="49"/>
  </w:num>
  <w:num w:numId="40" w16cid:durableId="1070081337">
    <w:abstractNumId w:val="22"/>
  </w:num>
  <w:num w:numId="41" w16cid:durableId="790634814">
    <w:abstractNumId w:val="22"/>
  </w:num>
  <w:num w:numId="42" w16cid:durableId="1037507754">
    <w:abstractNumId w:val="22"/>
  </w:num>
  <w:num w:numId="43" w16cid:durableId="1502618773">
    <w:abstractNumId w:val="8"/>
  </w:num>
  <w:num w:numId="44" w16cid:durableId="2044088942">
    <w:abstractNumId w:val="39"/>
  </w:num>
  <w:num w:numId="45" w16cid:durableId="1328629724">
    <w:abstractNumId w:val="45"/>
  </w:num>
  <w:num w:numId="46" w16cid:durableId="1040207315">
    <w:abstractNumId w:val="17"/>
  </w:num>
  <w:num w:numId="47" w16cid:durableId="1131047929">
    <w:abstractNumId w:val="23"/>
  </w:num>
  <w:num w:numId="48" w16cid:durableId="1657951353">
    <w:abstractNumId w:val="40"/>
  </w:num>
  <w:num w:numId="49" w16cid:durableId="784345576">
    <w:abstractNumId w:val="40"/>
  </w:num>
  <w:num w:numId="50" w16cid:durableId="1341153799">
    <w:abstractNumId w:val="40"/>
  </w:num>
  <w:num w:numId="51" w16cid:durableId="602540371">
    <w:abstractNumId w:val="30"/>
  </w:num>
  <w:num w:numId="52" w16cid:durableId="1177385059">
    <w:abstractNumId w:val="15"/>
  </w:num>
  <w:num w:numId="53" w16cid:durableId="576398913">
    <w:abstractNumId w:val="15"/>
  </w:num>
  <w:num w:numId="54" w16cid:durableId="1270814049">
    <w:abstractNumId w:val="15"/>
  </w:num>
  <w:num w:numId="55" w16cid:durableId="890382517">
    <w:abstractNumId w:val="4"/>
  </w:num>
  <w:num w:numId="56" w16cid:durableId="277026294">
    <w:abstractNumId w:val="6"/>
  </w:num>
  <w:num w:numId="57" w16cid:durableId="611326867">
    <w:abstractNumId w:val="43"/>
  </w:num>
  <w:num w:numId="58" w16cid:durableId="445928471">
    <w:abstractNumId w:val="14"/>
  </w:num>
  <w:num w:numId="59" w16cid:durableId="1397629182">
    <w:abstractNumId w:val="47"/>
  </w:num>
  <w:num w:numId="60" w16cid:durableId="1057902039">
    <w:abstractNumId w:val="50"/>
  </w:num>
  <w:num w:numId="61" w16cid:durableId="956447015">
    <w:abstractNumId w:val="7"/>
  </w:num>
  <w:num w:numId="62" w16cid:durableId="909660015">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IE" w:vendorID="64" w:dllVersion="0" w:nlCheck="1" w:checkStyle="0"/>
  <w:activeWritingStyle w:appName="MSWord" w:lang="it-IT" w:vendorID="64" w:dllVersion="0" w:nlCheck="1" w:checkStyle="0"/>
  <w:proofState w:spelling="clean" w:grammar="clean"/>
  <w:attachedTemplate r:id="rId1"/>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QCDateTime" w:val="2025-06-23 14:46: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CP" w:val="to the"/>
    <w:docVar w:name="LW_ANNEX_NBR_FIRST" w:val="1"/>
    <w:docVar w:name="LW_ANNEX_NBR_LAST" w:val="1"/>
    <w:docVar w:name="LW_ANNEX_UNIQUE" w:val="1"/>
    <w:docVar w:name="LW_CORRIGENDUM" w:val="&lt;UNUSED&gt;"/>
    <w:docVar w:name="LW_COVERPAGE_EXISTS" w:val="True"/>
    <w:docVar w:name="LW_COVERPAGE_GUID" w:val="08EC76FF-C7D0-4B6F-BE03-71420CF6DCF6"/>
    <w:docVar w:name="LW_COVERPAGE_TYPE" w:val="1"/>
    <w:docVar w:name="LW_CreatedUtc" w:val="2025-06-23T10:34:47.7736186Z"/>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CP" w:val="on the financing of the Justice programme and the adoption of the work programme for 2026-2027"/>
    <w:docVar w:name="LW_PART_NBR" w:val="1"/>
    <w:docVar w:name="LW_PART_NBR_TOTAL" w:val="1"/>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
    <w:docVar w:name="LW_TYPEACTEPRINCIPAL.CP" w:val="COMMISSION IMPLEMENTING DECISION"/>
  </w:docVars>
  <w:rsids>
    <w:rsidRoot w:val="00F47FDE"/>
    <w:rsid w:val="00000135"/>
    <w:rsid w:val="00000D51"/>
    <w:rsid w:val="00001341"/>
    <w:rsid w:val="000017CE"/>
    <w:rsid w:val="000021E9"/>
    <w:rsid w:val="00002890"/>
    <w:rsid w:val="00002896"/>
    <w:rsid w:val="0000293E"/>
    <w:rsid w:val="00002A48"/>
    <w:rsid w:val="00004145"/>
    <w:rsid w:val="00004A12"/>
    <w:rsid w:val="0000558A"/>
    <w:rsid w:val="00005B1E"/>
    <w:rsid w:val="00005B42"/>
    <w:rsid w:val="00005D5B"/>
    <w:rsid w:val="00005D77"/>
    <w:rsid w:val="0000665B"/>
    <w:rsid w:val="000067F9"/>
    <w:rsid w:val="00007086"/>
    <w:rsid w:val="00007613"/>
    <w:rsid w:val="0000795F"/>
    <w:rsid w:val="00007F54"/>
    <w:rsid w:val="000104A7"/>
    <w:rsid w:val="000112F4"/>
    <w:rsid w:val="000113CD"/>
    <w:rsid w:val="00011423"/>
    <w:rsid w:val="000122C9"/>
    <w:rsid w:val="0001272F"/>
    <w:rsid w:val="00012FFA"/>
    <w:rsid w:val="00013612"/>
    <w:rsid w:val="000136AF"/>
    <w:rsid w:val="000138C3"/>
    <w:rsid w:val="00013C80"/>
    <w:rsid w:val="00014046"/>
    <w:rsid w:val="0001407D"/>
    <w:rsid w:val="00014BCE"/>
    <w:rsid w:val="00014F42"/>
    <w:rsid w:val="00014FB8"/>
    <w:rsid w:val="000150DD"/>
    <w:rsid w:val="00015205"/>
    <w:rsid w:val="000153DB"/>
    <w:rsid w:val="00015CA6"/>
    <w:rsid w:val="000160B2"/>
    <w:rsid w:val="000160F1"/>
    <w:rsid w:val="00016E44"/>
    <w:rsid w:val="00016FCC"/>
    <w:rsid w:val="000170C1"/>
    <w:rsid w:val="0001751D"/>
    <w:rsid w:val="0001776C"/>
    <w:rsid w:val="0002038D"/>
    <w:rsid w:val="00020778"/>
    <w:rsid w:val="00020A50"/>
    <w:rsid w:val="00021202"/>
    <w:rsid w:val="00021233"/>
    <w:rsid w:val="000217CD"/>
    <w:rsid w:val="00021816"/>
    <w:rsid w:val="00022213"/>
    <w:rsid w:val="00022944"/>
    <w:rsid w:val="00022ABB"/>
    <w:rsid w:val="000231E0"/>
    <w:rsid w:val="000233C8"/>
    <w:rsid w:val="00023B79"/>
    <w:rsid w:val="00023BE8"/>
    <w:rsid w:val="00023C8E"/>
    <w:rsid w:val="00023FD3"/>
    <w:rsid w:val="00024241"/>
    <w:rsid w:val="00024E75"/>
    <w:rsid w:val="00025BE7"/>
    <w:rsid w:val="00025CC9"/>
    <w:rsid w:val="0002607A"/>
    <w:rsid w:val="000264D7"/>
    <w:rsid w:val="000269E6"/>
    <w:rsid w:val="000278B4"/>
    <w:rsid w:val="00030769"/>
    <w:rsid w:val="0003195F"/>
    <w:rsid w:val="00031A44"/>
    <w:rsid w:val="000327E9"/>
    <w:rsid w:val="000328EB"/>
    <w:rsid w:val="00032AC8"/>
    <w:rsid w:val="00033690"/>
    <w:rsid w:val="0003437C"/>
    <w:rsid w:val="000344B3"/>
    <w:rsid w:val="0003480E"/>
    <w:rsid w:val="000355FE"/>
    <w:rsid w:val="00035848"/>
    <w:rsid w:val="000359E7"/>
    <w:rsid w:val="00035CE8"/>
    <w:rsid w:val="00035F92"/>
    <w:rsid w:val="00036394"/>
    <w:rsid w:val="000363B1"/>
    <w:rsid w:val="00036A3A"/>
    <w:rsid w:val="00036B4C"/>
    <w:rsid w:val="00036E83"/>
    <w:rsid w:val="00037D62"/>
    <w:rsid w:val="00040782"/>
    <w:rsid w:val="0004078A"/>
    <w:rsid w:val="00040F64"/>
    <w:rsid w:val="00041380"/>
    <w:rsid w:val="00041A2B"/>
    <w:rsid w:val="00041A45"/>
    <w:rsid w:val="00041DE1"/>
    <w:rsid w:val="00042446"/>
    <w:rsid w:val="0004358A"/>
    <w:rsid w:val="000436B2"/>
    <w:rsid w:val="00044375"/>
    <w:rsid w:val="00044569"/>
    <w:rsid w:val="000448B2"/>
    <w:rsid w:val="0004543D"/>
    <w:rsid w:val="00045488"/>
    <w:rsid w:val="000459F6"/>
    <w:rsid w:val="00045E0B"/>
    <w:rsid w:val="000467EB"/>
    <w:rsid w:val="00046A09"/>
    <w:rsid w:val="00046CC6"/>
    <w:rsid w:val="00046F88"/>
    <w:rsid w:val="00047299"/>
    <w:rsid w:val="00047D41"/>
    <w:rsid w:val="00050D08"/>
    <w:rsid w:val="0005129D"/>
    <w:rsid w:val="000515CB"/>
    <w:rsid w:val="0005161B"/>
    <w:rsid w:val="00051806"/>
    <w:rsid w:val="00051B4F"/>
    <w:rsid w:val="00051B5C"/>
    <w:rsid w:val="000523F2"/>
    <w:rsid w:val="00052836"/>
    <w:rsid w:val="00052F3C"/>
    <w:rsid w:val="0005349B"/>
    <w:rsid w:val="00053974"/>
    <w:rsid w:val="000556BA"/>
    <w:rsid w:val="0005574F"/>
    <w:rsid w:val="000558AE"/>
    <w:rsid w:val="00055A44"/>
    <w:rsid w:val="0005609D"/>
    <w:rsid w:val="00057551"/>
    <w:rsid w:val="000578B9"/>
    <w:rsid w:val="00057A35"/>
    <w:rsid w:val="00061670"/>
    <w:rsid w:val="000629AF"/>
    <w:rsid w:val="00062A9E"/>
    <w:rsid w:val="00063029"/>
    <w:rsid w:val="0006308E"/>
    <w:rsid w:val="000631F3"/>
    <w:rsid w:val="00063310"/>
    <w:rsid w:val="00063333"/>
    <w:rsid w:val="00063385"/>
    <w:rsid w:val="00064121"/>
    <w:rsid w:val="00064AFB"/>
    <w:rsid w:val="00064E44"/>
    <w:rsid w:val="00065BE9"/>
    <w:rsid w:val="00065F23"/>
    <w:rsid w:val="00066088"/>
    <w:rsid w:val="00066289"/>
    <w:rsid w:val="000663B3"/>
    <w:rsid w:val="00066432"/>
    <w:rsid w:val="0006651B"/>
    <w:rsid w:val="0006670C"/>
    <w:rsid w:val="00066EBF"/>
    <w:rsid w:val="00066FB4"/>
    <w:rsid w:val="00067521"/>
    <w:rsid w:val="0007030B"/>
    <w:rsid w:val="000708B6"/>
    <w:rsid w:val="00070B85"/>
    <w:rsid w:val="00070C7C"/>
    <w:rsid w:val="000712FA"/>
    <w:rsid w:val="00071ABA"/>
    <w:rsid w:val="00071E18"/>
    <w:rsid w:val="00072381"/>
    <w:rsid w:val="000723F3"/>
    <w:rsid w:val="00072C46"/>
    <w:rsid w:val="00072F65"/>
    <w:rsid w:val="000730E7"/>
    <w:rsid w:val="00073ABF"/>
    <w:rsid w:val="00074659"/>
    <w:rsid w:val="0007540B"/>
    <w:rsid w:val="0007568C"/>
    <w:rsid w:val="000757FD"/>
    <w:rsid w:val="00077015"/>
    <w:rsid w:val="000771F2"/>
    <w:rsid w:val="000779D5"/>
    <w:rsid w:val="0008063F"/>
    <w:rsid w:val="00080660"/>
    <w:rsid w:val="0008076F"/>
    <w:rsid w:val="00080BBB"/>
    <w:rsid w:val="00080D54"/>
    <w:rsid w:val="00081018"/>
    <w:rsid w:val="00081105"/>
    <w:rsid w:val="00081259"/>
    <w:rsid w:val="0008161F"/>
    <w:rsid w:val="0008167D"/>
    <w:rsid w:val="0008238A"/>
    <w:rsid w:val="000823B1"/>
    <w:rsid w:val="00082717"/>
    <w:rsid w:val="00082883"/>
    <w:rsid w:val="00082BFB"/>
    <w:rsid w:val="00084284"/>
    <w:rsid w:val="00084FAB"/>
    <w:rsid w:val="00085652"/>
    <w:rsid w:val="0008578C"/>
    <w:rsid w:val="00085D73"/>
    <w:rsid w:val="000860CD"/>
    <w:rsid w:val="0008613D"/>
    <w:rsid w:val="00086BCF"/>
    <w:rsid w:val="00087035"/>
    <w:rsid w:val="00087082"/>
    <w:rsid w:val="00090183"/>
    <w:rsid w:val="000909AF"/>
    <w:rsid w:val="000909B4"/>
    <w:rsid w:val="00092A49"/>
    <w:rsid w:val="000932DB"/>
    <w:rsid w:val="00093CF5"/>
    <w:rsid w:val="00094AF3"/>
    <w:rsid w:val="00094F04"/>
    <w:rsid w:val="0009586F"/>
    <w:rsid w:val="00096396"/>
    <w:rsid w:val="00096437"/>
    <w:rsid w:val="000968F1"/>
    <w:rsid w:val="00096A14"/>
    <w:rsid w:val="00096A22"/>
    <w:rsid w:val="0009765F"/>
    <w:rsid w:val="00097779"/>
    <w:rsid w:val="00097B65"/>
    <w:rsid w:val="00097C6F"/>
    <w:rsid w:val="000A0461"/>
    <w:rsid w:val="000A08F6"/>
    <w:rsid w:val="000A0FB5"/>
    <w:rsid w:val="000A12B4"/>
    <w:rsid w:val="000A130F"/>
    <w:rsid w:val="000A1852"/>
    <w:rsid w:val="000A1A5B"/>
    <w:rsid w:val="000A269D"/>
    <w:rsid w:val="000A27D7"/>
    <w:rsid w:val="000A2C13"/>
    <w:rsid w:val="000A2E69"/>
    <w:rsid w:val="000A33C9"/>
    <w:rsid w:val="000A4187"/>
    <w:rsid w:val="000A56F2"/>
    <w:rsid w:val="000A6834"/>
    <w:rsid w:val="000A688D"/>
    <w:rsid w:val="000A698D"/>
    <w:rsid w:val="000A769B"/>
    <w:rsid w:val="000A7B9C"/>
    <w:rsid w:val="000B06FF"/>
    <w:rsid w:val="000B073D"/>
    <w:rsid w:val="000B1043"/>
    <w:rsid w:val="000B1DF2"/>
    <w:rsid w:val="000B24FF"/>
    <w:rsid w:val="000B3405"/>
    <w:rsid w:val="000B3D4B"/>
    <w:rsid w:val="000B4094"/>
    <w:rsid w:val="000B417E"/>
    <w:rsid w:val="000B443E"/>
    <w:rsid w:val="000B46C0"/>
    <w:rsid w:val="000B4828"/>
    <w:rsid w:val="000B49B5"/>
    <w:rsid w:val="000B4A9C"/>
    <w:rsid w:val="000B5987"/>
    <w:rsid w:val="000B698D"/>
    <w:rsid w:val="000B706F"/>
    <w:rsid w:val="000B7472"/>
    <w:rsid w:val="000C0C7D"/>
    <w:rsid w:val="000C0E8E"/>
    <w:rsid w:val="000C1142"/>
    <w:rsid w:val="000C158E"/>
    <w:rsid w:val="000C1E8B"/>
    <w:rsid w:val="000C241C"/>
    <w:rsid w:val="000C2706"/>
    <w:rsid w:val="000C2B9B"/>
    <w:rsid w:val="000C2EF8"/>
    <w:rsid w:val="000C33D6"/>
    <w:rsid w:val="000C3829"/>
    <w:rsid w:val="000C43F7"/>
    <w:rsid w:val="000C44C7"/>
    <w:rsid w:val="000C4623"/>
    <w:rsid w:val="000C469C"/>
    <w:rsid w:val="000C4758"/>
    <w:rsid w:val="000C4EB0"/>
    <w:rsid w:val="000C544D"/>
    <w:rsid w:val="000C5494"/>
    <w:rsid w:val="000C5679"/>
    <w:rsid w:val="000C56DD"/>
    <w:rsid w:val="000C5FC9"/>
    <w:rsid w:val="000C632E"/>
    <w:rsid w:val="000C67E2"/>
    <w:rsid w:val="000C7353"/>
    <w:rsid w:val="000D024B"/>
    <w:rsid w:val="000D067A"/>
    <w:rsid w:val="000D13C8"/>
    <w:rsid w:val="000D2E13"/>
    <w:rsid w:val="000D3A6A"/>
    <w:rsid w:val="000D3B66"/>
    <w:rsid w:val="000D3D58"/>
    <w:rsid w:val="000D6C15"/>
    <w:rsid w:val="000D719E"/>
    <w:rsid w:val="000D7EB6"/>
    <w:rsid w:val="000E0702"/>
    <w:rsid w:val="000E0F8B"/>
    <w:rsid w:val="000E20EB"/>
    <w:rsid w:val="000E2E7E"/>
    <w:rsid w:val="000E2EB0"/>
    <w:rsid w:val="000E3260"/>
    <w:rsid w:val="000E3BA7"/>
    <w:rsid w:val="000E4E22"/>
    <w:rsid w:val="000E5210"/>
    <w:rsid w:val="000E5277"/>
    <w:rsid w:val="000E5944"/>
    <w:rsid w:val="000E60BA"/>
    <w:rsid w:val="000E6D70"/>
    <w:rsid w:val="000E7576"/>
    <w:rsid w:val="000E76ED"/>
    <w:rsid w:val="000F0727"/>
    <w:rsid w:val="000F09CC"/>
    <w:rsid w:val="000F138D"/>
    <w:rsid w:val="000F1C7C"/>
    <w:rsid w:val="000F295D"/>
    <w:rsid w:val="000F2D50"/>
    <w:rsid w:val="000F38C6"/>
    <w:rsid w:val="000F3F24"/>
    <w:rsid w:val="000F4378"/>
    <w:rsid w:val="000F444E"/>
    <w:rsid w:val="000F4AEA"/>
    <w:rsid w:val="000F56C2"/>
    <w:rsid w:val="000F59CD"/>
    <w:rsid w:val="000F5CC8"/>
    <w:rsid w:val="000F60EA"/>
    <w:rsid w:val="000F68AD"/>
    <w:rsid w:val="000F6907"/>
    <w:rsid w:val="000F6DC2"/>
    <w:rsid w:val="000F76CD"/>
    <w:rsid w:val="000F7A0B"/>
    <w:rsid w:val="000F7C27"/>
    <w:rsid w:val="000F7F30"/>
    <w:rsid w:val="000F7F85"/>
    <w:rsid w:val="000F7FF7"/>
    <w:rsid w:val="00100221"/>
    <w:rsid w:val="001006DE"/>
    <w:rsid w:val="00100A09"/>
    <w:rsid w:val="00100ABB"/>
    <w:rsid w:val="00100DCB"/>
    <w:rsid w:val="00100F7B"/>
    <w:rsid w:val="0010125E"/>
    <w:rsid w:val="001017A6"/>
    <w:rsid w:val="00101810"/>
    <w:rsid w:val="00102144"/>
    <w:rsid w:val="00102D5A"/>
    <w:rsid w:val="0010386D"/>
    <w:rsid w:val="00103C24"/>
    <w:rsid w:val="00103DC0"/>
    <w:rsid w:val="001041A9"/>
    <w:rsid w:val="00104456"/>
    <w:rsid w:val="00104CCD"/>
    <w:rsid w:val="001050B3"/>
    <w:rsid w:val="0010548D"/>
    <w:rsid w:val="00105B73"/>
    <w:rsid w:val="00106EDC"/>
    <w:rsid w:val="0010727E"/>
    <w:rsid w:val="00107790"/>
    <w:rsid w:val="0010780A"/>
    <w:rsid w:val="00110368"/>
    <w:rsid w:val="001103F3"/>
    <w:rsid w:val="0011074D"/>
    <w:rsid w:val="00110AE8"/>
    <w:rsid w:val="00111043"/>
    <w:rsid w:val="00111399"/>
    <w:rsid w:val="00111DD2"/>
    <w:rsid w:val="001126C1"/>
    <w:rsid w:val="0011291A"/>
    <w:rsid w:val="00112C07"/>
    <w:rsid w:val="00113402"/>
    <w:rsid w:val="0011382B"/>
    <w:rsid w:val="00113918"/>
    <w:rsid w:val="00114034"/>
    <w:rsid w:val="00114333"/>
    <w:rsid w:val="00114AFA"/>
    <w:rsid w:val="001151AF"/>
    <w:rsid w:val="00115568"/>
    <w:rsid w:val="00115785"/>
    <w:rsid w:val="00116697"/>
    <w:rsid w:val="001166B8"/>
    <w:rsid w:val="00116800"/>
    <w:rsid w:val="00116C10"/>
    <w:rsid w:val="00116D5C"/>
    <w:rsid w:val="00117274"/>
    <w:rsid w:val="0011760B"/>
    <w:rsid w:val="00117C3A"/>
    <w:rsid w:val="00120305"/>
    <w:rsid w:val="00120D53"/>
    <w:rsid w:val="00121113"/>
    <w:rsid w:val="001214FA"/>
    <w:rsid w:val="00121845"/>
    <w:rsid w:val="00121D2C"/>
    <w:rsid w:val="00122184"/>
    <w:rsid w:val="001224F2"/>
    <w:rsid w:val="001233DD"/>
    <w:rsid w:val="001238A1"/>
    <w:rsid w:val="00123CCF"/>
    <w:rsid w:val="00123EC0"/>
    <w:rsid w:val="00124032"/>
    <w:rsid w:val="00124588"/>
    <w:rsid w:val="00124684"/>
    <w:rsid w:val="00125441"/>
    <w:rsid w:val="00125E82"/>
    <w:rsid w:val="001267FD"/>
    <w:rsid w:val="00126E9F"/>
    <w:rsid w:val="00127C92"/>
    <w:rsid w:val="00127DA5"/>
    <w:rsid w:val="00130C6A"/>
    <w:rsid w:val="00131295"/>
    <w:rsid w:val="001314C0"/>
    <w:rsid w:val="00131A2F"/>
    <w:rsid w:val="00131A62"/>
    <w:rsid w:val="0013241E"/>
    <w:rsid w:val="00133F00"/>
    <w:rsid w:val="00134043"/>
    <w:rsid w:val="00134670"/>
    <w:rsid w:val="00134747"/>
    <w:rsid w:val="00134AC8"/>
    <w:rsid w:val="00134B24"/>
    <w:rsid w:val="00134CBF"/>
    <w:rsid w:val="00134F1F"/>
    <w:rsid w:val="0013531D"/>
    <w:rsid w:val="00135471"/>
    <w:rsid w:val="0013650F"/>
    <w:rsid w:val="001365E6"/>
    <w:rsid w:val="00136D77"/>
    <w:rsid w:val="00137000"/>
    <w:rsid w:val="00137416"/>
    <w:rsid w:val="00137968"/>
    <w:rsid w:val="001379C1"/>
    <w:rsid w:val="00140DE2"/>
    <w:rsid w:val="00140EBB"/>
    <w:rsid w:val="00141043"/>
    <w:rsid w:val="001414E5"/>
    <w:rsid w:val="001419A1"/>
    <w:rsid w:val="00141E3C"/>
    <w:rsid w:val="001429C6"/>
    <w:rsid w:val="00142A87"/>
    <w:rsid w:val="00142DFA"/>
    <w:rsid w:val="001435A3"/>
    <w:rsid w:val="001435A4"/>
    <w:rsid w:val="00143D90"/>
    <w:rsid w:val="001459FB"/>
    <w:rsid w:val="00145BEF"/>
    <w:rsid w:val="001463BA"/>
    <w:rsid w:val="00146787"/>
    <w:rsid w:val="0014731B"/>
    <w:rsid w:val="00147891"/>
    <w:rsid w:val="00147911"/>
    <w:rsid w:val="00147E03"/>
    <w:rsid w:val="00150176"/>
    <w:rsid w:val="0015071D"/>
    <w:rsid w:val="001508FF"/>
    <w:rsid w:val="00150A8E"/>
    <w:rsid w:val="00151B4F"/>
    <w:rsid w:val="00152050"/>
    <w:rsid w:val="001521F5"/>
    <w:rsid w:val="00152493"/>
    <w:rsid w:val="00152574"/>
    <w:rsid w:val="00152C8A"/>
    <w:rsid w:val="0015330A"/>
    <w:rsid w:val="001537AB"/>
    <w:rsid w:val="00153B3F"/>
    <w:rsid w:val="00153BBA"/>
    <w:rsid w:val="00154D43"/>
    <w:rsid w:val="001554B5"/>
    <w:rsid w:val="00155831"/>
    <w:rsid w:val="00155A33"/>
    <w:rsid w:val="00155CBB"/>
    <w:rsid w:val="00156499"/>
    <w:rsid w:val="001564A9"/>
    <w:rsid w:val="00156E02"/>
    <w:rsid w:val="00156EF4"/>
    <w:rsid w:val="00156FA6"/>
    <w:rsid w:val="00157634"/>
    <w:rsid w:val="00157DE7"/>
    <w:rsid w:val="00161037"/>
    <w:rsid w:val="0016163D"/>
    <w:rsid w:val="0016184F"/>
    <w:rsid w:val="00161927"/>
    <w:rsid w:val="00161A4B"/>
    <w:rsid w:val="00161D45"/>
    <w:rsid w:val="001624CC"/>
    <w:rsid w:val="00162606"/>
    <w:rsid w:val="00163798"/>
    <w:rsid w:val="00164476"/>
    <w:rsid w:val="0016449C"/>
    <w:rsid w:val="00164703"/>
    <w:rsid w:val="00164D80"/>
    <w:rsid w:val="00165C4F"/>
    <w:rsid w:val="00165EB5"/>
    <w:rsid w:val="00166411"/>
    <w:rsid w:val="00166A94"/>
    <w:rsid w:val="001676CE"/>
    <w:rsid w:val="00167806"/>
    <w:rsid w:val="00167FBB"/>
    <w:rsid w:val="0017007E"/>
    <w:rsid w:val="00170114"/>
    <w:rsid w:val="001706AF"/>
    <w:rsid w:val="00171B5B"/>
    <w:rsid w:val="00171BC3"/>
    <w:rsid w:val="00171D0C"/>
    <w:rsid w:val="001725D6"/>
    <w:rsid w:val="00172BDE"/>
    <w:rsid w:val="00172EC8"/>
    <w:rsid w:val="001731AD"/>
    <w:rsid w:val="001735CD"/>
    <w:rsid w:val="00174988"/>
    <w:rsid w:val="0017593F"/>
    <w:rsid w:val="00175A31"/>
    <w:rsid w:val="00176306"/>
    <w:rsid w:val="00176BF4"/>
    <w:rsid w:val="0017738E"/>
    <w:rsid w:val="00177AF3"/>
    <w:rsid w:val="00177BA1"/>
    <w:rsid w:val="00177BB1"/>
    <w:rsid w:val="00177DFF"/>
    <w:rsid w:val="00180060"/>
    <w:rsid w:val="00180AC6"/>
    <w:rsid w:val="001811A9"/>
    <w:rsid w:val="00181B98"/>
    <w:rsid w:val="00181E3B"/>
    <w:rsid w:val="00182042"/>
    <w:rsid w:val="00182A17"/>
    <w:rsid w:val="001831C2"/>
    <w:rsid w:val="001837BC"/>
    <w:rsid w:val="00183B7B"/>
    <w:rsid w:val="00183C84"/>
    <w:rsid w:val="00183E93"/>
    <w:rsid w:val="001845A1"/>
    <w:rsid w:val="0018476B"/>
    <w:rsid w:val="00184DBC"/>
    <w:rsid w:val="001855A6"/>
    <w:rsid w:val="00185BB1"/>
    <w:rsid w:val="00186FE3"/>
    <w:rsid w:val="00187B2B"/>
    <w:rsid w:val="00190094"/>
    <w:rsid w:val="001901F1"/>
    <w:rsid w:val="001902DA"/>
    <w:rsid w:val="00190A29"/>
    <w:rsid w:val="00190AEE"/>
    <w:rsid w:val="00190F63"/>
    <w:rsid w:val="00191099"/>
    <w:rsid w:val="001912FD"/>
    <w:rsid w:val="00191446"/>
    <w:rsid w:val="00191C36"/>
    <w:rsid w:val="00191D7C"/>
    <w:rsid w:val="00191F90"/>
    <w:rsid w:val="00192344"/>
    <w:rsid w:val="00192388"/>
    <w:rsid w:val="00192852"/>
    <w:rsid w:val="00192FA0"/>
    <w:rsid w:val="00193347"/>
    <w:rsid w:val="00193B99"/>
    <w:rsid w:val="00194119"/>
    <w:rsid w:val="001942A5"/>
    <w:rsid w:val="00194A6F"/>
    <w:rsid w:val="00195471"/>
    <w:rsid w:val="0019563D"/>
    <w:rsid w:val="00195C22"/>
    <w:rsid w:val="00195CC0"/>
    <w:rsid w:val="00195D34"/>
    <w:rsid w:val="00195EEA"/>
    <w:rsid w:val="00196526"/>
    <w:rsid w:val="00196F25"/>
    <w:rsid w:val="00197019"/>
    <w:rsid w:val="00197D9D"/>
    <w:rsid w:val="001A0500"/>
    <w:rsid w:val="001A0EAC"/>
    <w:rsid w:val="001A13A9"/>
    <w:rsid w:val="001A1442"/>
    <w:rsid w:val="001A17E6"/>
    <w:rsid w:val="001A21F0"/>
    <w:rsid w:val="001A240F"/>
    <w:rsid w:val="001A2426"/>
    <w:rsid w:val="001A251A"/>
    <w:rsid w:val="001A29F4"/>
    <w:rsid w:val="001A3464"/>
    <w:rsid w:val="001A384C"/>
    <w:rsid w:val="001A5000"/>
    <w:rsid w:val="001A5768"/>
    <w:rsid w:val="001A6556"/>
    <w:rsid w:val="001A7021"/>
    <w:rsid w:val="001A7251"/>
    <w:rsid w:val="001A797E"/>
    <w:rsid w:val="001B0D3E"/>
    <w:rsid w:val="001B118E"/>
    <w:rsid w:val="001B16EC"/>
    <w:rsid w:val="001B24D1"/>
    <w:rsid w:val="001B334A"/>
    <w:rsid w:val="001B3705"/>
    <w:rsid w:val="001B3806"/>
    <w:rsid w:val="001B491B"/>
    <w:rsid w:val="001B4BB1"/>
    <w:rsid w:val="001B4E66"/>
    <w:rsid w:val="001B5C0F"/>
    <w:rsid w:val="001B61DD"/>
    <w:rsid w:val="001B65AF"/>
    <w:rsid w:val="001B679B"/>
    <w:rsid w:val="001B7D4D"/>
    <w:rsid w:val="001C070C"/>
    <w:rsid w:val="001C0749"/>
    <w:rsid w:val="001C09FF"/>
    <w:rsid w:val="001C0C4A"/>
    <w:rsid w:val="001C0E08"/>
    <w:rsid w:val="001C0E74"/>
    <w:rsid w:val="001C109B"/>
    <w:rsid w:val="001C1208"/>
    <w:rsid w:val="001C1579"/>
    <w:rsid w:val="001C186D"/>
    <w:rsid w:val="001C18EF"/>
    <w:rsid w:val="001C1C70"/>
    <w:rsid w:val="001C2ACF"/>
    <w:rsid w:val="001C2DB5"/>
    <w:rsid w:val="001C36CA"/>
    <w:rsid w:val="001C49D9"/>
    <w:rsid w:val="001C4DDD"/>
    <w:rsid w:val="001C553D"/>
    <w:rsid w:val="001C5558"/>
    <w:rsid w:val="001C55B0"/>
    <w:rsid w:val="001C57F0"/>
    <w:rsid w:val="001C5FE7"/>
    <w:rsid w:val="001C63F0"/>
    <w:rsid w:val="001C6C48"/>
    <w:rsid w:val="001C73DB"/>
    <w:rsid w:val="001C760F"/>
    <w:rsid w:val="001D0E9C"/>
    <w:rsid w:val="001D1B57"/>
    <w:rsid w:val="001D2EF1"/>
    <w:rsid w:val="001D3088"/>
    <w:rsid w:val="001D433E"/>
    <w:rsid w:val="001D46CD"/>
    <w:rsid w:val="001D48FA"/>
    <w:rsid w:val="001D49A6"/>
    <w:rsid w:val="001D4B21"/>
    <w:rsid w:val="001D4B45"/>
    <w:rsid w:val="001D50E1"/>
    <w:rsid w:val="001D5EF5"/>
    <w:rsid w:val="001D5F02"/>
    <w:rsid w:val="001D6383"/>
    <w:rsid w:val="001D658F"/>
    <w:rsid w:val="001D7115"/>
    <w:rsid w:val="001E26EA"/>
    <w:rsid w:val="001E2975"/>
    <w:rsid w:val="001E2C61"/>
    <w:rsid w:val="001E3251"/>
    <w:rsid w:val="001E339B"/>
    <w:rsid w:val="001E3BFA"/>
    <w:rsid w:val="001E3D01"/>
    <w:rsid w:val="001E3DDE"/>
    <w:rsid w:val="001E41BA"/>
    <w:rsid w:val="001E4C23"/>
    <w:rsid w:val="001E55C6"/>
    <w:rsid w:val="001E5649"/>
    <w:rsid w:val="001E58CF"/>
    <w:rsid w:val="001E5B22"/>
    <w:rsid w:val="001E5F8B"/>
    <w:rsid w:val="001E72ED"/>
    <w:rsid w:val="001E73D4"/>
    <w:rsid w:val="001E7585"/>
    <w:rsid w:val="001E7A22"/>
    <w:rsid w:val="001F085D"/>
    <w:rsid w:val="001F2427"/>
    <w:rsid w:val="001F243C"/>
    <w:rsid w:val="001F246F"/>
    <w:rsid w:val="001F2BDC"/>
    <w:rsid w:val="001F2C56"/>
    <w:rsid w:val="001F2F36"/>
    <w:rsid w:val="001F343E"/>
    <w:rsid w:val="001F3486"/>
    <w:rsid w:val="001F4F59"/>
    <w:rsid w:val="001F507D"/>
    <w:rsid w:val="001F61EB"/>
    <w:rsid w:val="001F675B"/>
    <w:rsid w:val="001F685E"/>
    <w:rsid w:val="001F6B8D"/>
    <w:rsid w:val="001F6E00"/>
    <w:rsid w:val="001F6E9C"/>
    <w:rsid w:val="001F6F59"/>
    <w:rsid w:val="001F76FF"/>
    <w:rsid w:val="001F7B6D"/>
    <w:rsid w:val="001F7F3C"/>
    <w:rsid w:val="0020057D"/>
    <w:rsid w:val="00201482"/>
    <w:rsid w:val="00201799"/>
    <w:rsid w:val="00202891"/>
    <w:rsid w:val="00203EF5"/>
    <w:rsid w:val="00204177"/>
    <w:rsid w:val="0020420E"/>
    <w:rsid w:val="00204303"/>
    <w:rsid w:val="00204843"/>
    <w:rsid w:val="002049E8"/>
    <w:rsid w:val="00204F43"/>
    <w:rsid w:val="00204F63"/>
    <w:rsid w:val="002051D6"/>
    <w:rsid w:val="00205909"/>
    <w:rsid w:val="002059D1"/>
    <w:rsid w:val="00206770"/>
    <w:rsid w:val="002067C8"/>
    <w:rsid w:val="00206E09"/>
    <w:rsid w:val="00206F50"/>
    <w:rsid w:val="00207291"/>
    <w:rsid w:val="002073BE"/>
    <w:rsid w:val="0020793D"/>
    <w:rsid w:val="0021008D"/>
    <w:rsid w:val="0021029B"/>
    <w:rsid w:val="00210771"/>
    <w:rsid w:val="002109D5"/>
    <w:rsid w:val="00210DAA"/>
    <w:rsid w:val="00211135"/>
    <w:rsid w:val="0021179A"/>
    <w:rsid w:val="00211D47"/>
    <w:rsid w:val="00213A1B"/>
    <w:rsid w:val="00213A57"/>
    <w:rsid w:val="00213D55"/>
    <w:rsid w:val="00214042"/>
    <w:rsid w:val="0021522E"/>
    <w:rsid w:val="00215552"/>
    <w:rsid w:val="002157B5"/>
    <w:rsid w:val="002158E6"/>
    <w:rsid w:val="00215F5E"/>
    <w:rsid w:val="00217339"/>
    <w:rsid w:val="00220525"/>
    <w:rsid w:val="002208EB"/>
    <w:rsid w:val="00220D14"/>
    <w:rsid w:val="00220D57"/>
    <w:rsid w:val="00220FE4"/>
    <w:rsid w:val="0022105F"/>
    <w:rsid w:val="00221B8A"/>
    <w:rsid w:val="00222135"/>
    <w:rsid w:val="002226CC"/>
    <w:rsid w:val="00222C1C"/>
    <w:rsid w:val="002239D6"/>
    <w:rsid w:val="00224841"/>
    <w:rsid w:val="00224D15"/>
    <w:rsid w:val="00225457"/>
    <w:rsid w:val="00225908"/>
    <w:rsid w:val="00225F32"/>
    <w:rsid w:val="002267DB"/>
    <w:rsid w:val="002271DE"/>
    <w:rsid w:val="0022733D"/>
    <w:rsid w:val="0022763A"/>
    <w:rsid w:val="00227704"/>
    <w:rsid w:val="002277AC"/>
    <w:rsid w:val="0022783E"/>
    <w:rsid w:val="00227DAA"/>
    <w:rsid w:val="0023009C"/>
    <w:rsid w:val="00230182"/>
    <w:rsid w:val="00230613"/>
    <w:rsid w:val="00230689"/>
    <w:rsid w:val="002307D9"/>
    <w:rsid w:val="00230B45"/>
    <w:rsid w:val="00230E1C"/>
    <w:rsid w:val="0023106E"/>
    <w:rsid w:val="0023132A"/>
    <w:rsid w:val="00231692"/>
    <w:rsid w:val="002329E5"/>
    <w:rsid w:val="00232D3D"/>
    <w:rsid w:val="002333F7"/>
    <w:rsid w:val="00233721"/>
    <w:rsid w:val="002337DD"/>
    <w:rsid w:val="00234027"/>
    <w:rsid w:val="00234135"/>
    <w:rsid w:val="00234A7A"/>
    <w:rsid w:val="0023527B"/>
    <w:rsid w:val="00235992"/>
    <w:rsid w:val="0023606B"/>
    <w:rsid w:val="002362AE"/>
    <w:rsid w:val="00236E0E"/>
    <w:rsid w:val="00236E7D"/>
    <w:rsid w:val="002371DA"/>
    <w:rsid w:val="002374A7"/>
    <w:rsid w:val="002375E4"/>
    <w:rsid w:val="002377DB"/>
    <w:rsid w:val="0023786C"/>
    <w:rsid w:val="00237A3B"/>
    <w:rsid w:val="00237CFD"/>
    <w:rsid w:val="00237FD4"/>
    <w:rsid w:val="0024010D"/>
    <w:rsid w:val="00240315"/>
    <w:rsid w:val="00240B87"/>
    <w:rsid w:val="00240DF2"/>
    <w:rsid w:val="002417D7"/>
    <w:rsid w:val="00241AED"/>
    <w:rsid w:val="00242890"/>
    <w:rsid w:val="00242962"/>
    <w:rsid w:val="00242C0A"/>
    <w:rsid w:val="0024375F"/>
    <w:rsid w:val="00243FBF"/>
    <w:rsid w:val="00244E66"/>
    <w:rsid w:val="00244E7F"/>
    <w:rsid w:val="0024564F"/>
    <w:rsid w:val="00245C3B"/>
    <w:rsid w:val="002460CF"/>
    <w:rsid w:val="00246899"/>
    <w:rsid w:val="00246C1B"/>
    <w:rsid w:val="0024709F"/>
    <w:rsid w:val="002470EC"/>
    <w:rsid w:val="002471D8"/>
    <w:rsid w:val="0024767C"/>
    <w:rsid w:val="002507D6"/>
    <w:rsid w:val="00250886"/>
    <w:rsid w:val="00251D61"/>
    <w:rsid w:val="00251E46"/>
    <w:rsid w:val="00251E9F"/>
    <w:rsid w:val="00252351"/>
    <w:rsid w:val="00252D67"/>
    <w:rsid w:val="00253126"/>
    <w:rsid w:val="002534A2"/>
    <w:rsid w:val="00253588"/>
    <w:rsid w:val="00253A13"/>
    <w:rsid w:val="00253F29"/>
    <w:rsid w:val="00253FB7"/>
    <w:rsid w:val="00255863"/>
    <w:rsid w:val="00255B46"/>
    <w:rsid w:val="00255BA3"/>
    <w:rsid w:val="002569A8"/>
    <w:rsid w:val="00256CE3"/>
    <w:rsid w:val="00256F06"/>
    <w:rsid w:val="00257AF8"/>
    <w:rsid w:val="00260474"/>
    <w:rsid w:val="002611C3"/>
    <w:rsid w:val="0026191B"/>
    <w:rsid w:val="002619F1"/>
    <w:rsid w:val="00261F99"/>
    <w:rsid w:val="00262C62"/>
    <w:rsid w:val="00262DBD"/>
    <w:rsid w:val="00263248"/>
    <w:rsid w:val="00263639"/>
    <w:rsid w:val="00264074"/>
    <w:rsid w:val="002641E1"/>
    <w:rsid w:val="00265B7E"/>
    <w:rsid w:val="00265DF4"/>
    <w:rsid w:val="00265F63"/>
    <w:rsid w:val="00266238"/>
    <w:rsid w:val="00266725"/>
    <w:rsid w:val="00270087"/>
    <w:rsid w:val="002703C1"/>
    <w:rsid w:val="00270ECE"/>
    <w:rsid w:val="00271C5C"/>
    <w:rsid w:val="00271C78"/>
    <w:rsid w:val="002720AE"/>
    <w:rsid w:val="002725E1"/>
    <w:rsid w:val="00272826"/>
    <w:rsid w:val="0027282E"/>
    <w:rsid w:val="00272CEA"/>
    <w:rsid w:val="00272FC0"/>
    <w:rsid w:val="0027324F"/>
    <w:rsid w:val="00273B0D"/>
    <w:rsid w:val="002740FB"/>
    <w:rsid w:val="00274321"/>
    <w:rsid w:val="00275AA6"/>
    <w:rsid w:val="0027681C"/>
    <w:rsid w:val="0027714F"/>
    <w:rsid w:val="00277DE3"/>
    <w:rsid w:val="00280783"/>
    <w:rsid w:val="00281080"/>
    <w:rsid w:val="00281986"/>
    <w:rsid w:val="00281BC4"/>
    <w:rsid w:val="002822F0"/>
    <w:rsid w:val="002825C1"/>
    <w:rsid w:val="00282B1B"/>
    <w:rsid w:val="00282B96"/>
    <w:rsid w:val="00283073"/>
    <w:rsid w:val="002834C0"/>
    <w:rsid w:val="00283534"/>
    <w:rsid w:val="00283F08"/>
    <w:rsid w:val="00284969"/>
    <w:rsid w:val="00284CCF"/>
    <w:rsid w:val="00284EF3"/>
    <w:rsid w:val="0028576B"/>
    <w:rsid w:val="00286504"/>
    <w:rsid w:val="0028673A"/>
    <w:rsid w:val="002867C7"/>
    <w:rsid w:val="00286800"/>
    <w:rsid w:val="00286B8B"/>
    <w:rsid w:val="00287663"/>
    <w:rsid w:val="00287FDD"/>
    <w:rsid w:val="00290096"/>
    <w:rsid w:val="00290102"/>
    <w:rsid w:val="002906DC"/>
    <w:rsid w:val="00290BAE"/>
    <w:rsid w:val="00290CB9"/>
    <w:rsid w:val="00290D83"/>
    <w:rsid w:val="00290DEE"/>
    <w:rsid w:val="00290E35"/>
    <w:rsid w:val="00290F82"/>
    <w:rsid w:val="002911A4"/>
    <w:rsid w:val="0029183E"/>
    <w:rsid w:val="002918AB"/>
    <w:rsid w:val="00292110"/>
    <w:rsid w:val="0029251A"/>
    <w:rsid w:val="00292A8D"/>
    <w:rsid w:val="00293208"/>
    <w:rsid w:val="00293343"/>
    <w:rsid w:val="00293723"/>
    <w:rsid w:val="00293D2E"/>
    <w:rsid w:val="0029408A"/>
    <w:rsid w:val="00295211"/>
    <w:rsid w:val="002954D9"/>
    <w:rsid w:val="00295504"/>
    <w:rsid w:val="00295B93"/>
    <w:rsid w:val="00296969"/>
    <w:rsid w:val="00296FAB"/>
    <w:rsid w:val="00297046"/>
    <w:rsid w:val="0029755B"/>
    <w:rsid w:val="002977C1"/>
    <w:rsid w:val="00297D75"/>
    <w:rsid w:val="002A16F3"/>
    <w:rsid w:val="002A1DAB"/>
    <w:rsid w:val="002A241A"/>
    <w:rsid w:val="002A2A41"/>
    <w:rsid w:val="002A2BEF"/>
    <w:rsid w:val="002A337F"/>
    <w:rsid w:val="002A3748"/>
    <w:rsid w:val="002A45A9"/>
    <w:rsid w:val="002A489F"/>
    <w:rsid w:val="002A4E07"/>
    <w:rsid w:val="002A553A"/>
    <w:rsid w:val="002A5750"/>
    <w:rsid w:val="002A609F"/>
    <w:rsid w:val="002A6290"/>
    <w:rsid w:val="002A6450"/>
    <w:rsid w:val="002A654A"/>
    <w:rsid w:val="002A7184"/>
    <w:rsid w:val="002A7620"/>
    <w:rsid w:val="002A7815"/>
    <w:rsid w:val="002A7C07"/>
    <w:rsid w:val="002A7D23"/>
    <w:rsid w:val="002B019B"/>
    <w:rsid w:val="002B06DB"/>
    <w:rsid w:val="002B0894"/>
    <w:rsid w:val="002B08E3"/>
    <w:rsid w:val="002B0980"/>
    <w:rsid w:val="002B0E91"/>
    <w:rsid w:val="002B115F"/>
    <w:rsid w:val="002B1747"/>
    <w:rsid w:val="002B1C68"/>
    <w:rsid w:val="002B1F6B"/>
    <w:rsid w:val="002B2162"/>
    <w:rsid w:val="002B2486"/>
    <w:rsid w:val="002B284E"/>
    <w:rsid w:val="002B2A9D"/>
    <w:rsid w:val="002B2CB6"/>
    <w:rsid w:val="002B37DE"/>
    <w:rsid w:val="002B3A34"/>
    <w:rsid w:val="002B3D53"/>
    <w:rsid w:val="002B45C0"/>
    <w:rsid w:val="002B4618"/>
    <w:rsid w:val="002B4DA5"/>
    <w:rsid w:val="002B4E1A"/>
    <w:rsid w:val="002B506B"/>
    <w:rsid w:val="002B54B0"/>
    <w:rsid w:val="002B5D31"/>
    <w:rsid w:val="002B6B87"/>
    <w:rsid w:val="002B6E99"/>
    <w:rsid w:val="002B6F09"/>
    <w:rsid w:val="002B7FD2"/>
    <w:rsid w:val="002C04C1"/>
    <w:rsid w:val="002C07F2"/>
    <w:rsid w:val="002C0957"/>
    <w:rsid w:val="002C0B30"/>
    <w:rsid w:val="002C0EC7"/>
    <w:rsid w:val="002C11E9"/>
    <w:rsid w:val="002C18B3"/>
    <w:rsid w:val="002C1925"/>
    <w:rsid w:val="002C1B49"/>
    <w:rsid w:val="002C1BA0"/>
    <w:rsid w:val="002C1D07"/>
    <w:rsid w:val="002C257D"/>
    <w:rsid w:val="002C26DA"/>
    <w:rsid w:val="002C2866"/>
    <w:rsid w:val="002C3E3E"/>
    <w:rsid w:val="002C3EEB"/>
    <w:rsid w:val="002C3F17"/>
    <w:rsid w:val="002C4C19"/>
    <w:rsid w:val="002C5233"/>
    <w:rsid w:val="002C65B7"/>
    <w:rsid w:val="002C660B"/>
    <w:rsid w:val="002C67AD"/>
    <w:rsid w:val="002C7253"/>
    <w:rsid w:val="002D026B"/>
    <w:rsid w:val="002D0358"/>
    <w:rsid w:val="002D08D0"/>
    <w:rsid w:val="002D0BC5"/>
    <w:rsid w:val="002D129C"/>
    <w:rsid w:val="002D134E"/>
    <w:rsid w:val="002D1784"/>
    <w:rsid w:val="002D179F"/>
    <w:rsid w:val="002D1F2E"/>
    <w:rsid w:val="002D2197"/>
    <w:rsid w:val="002D23BB"/>
    <w:rsid w:val="002D23FD"/>
    <w:rsid w:val="002D2449"/>
    <w:rsid w:val="002D3125"/>
    <w:rsid w:val="002D397F"/>
    <w:rsid w:val="002D3C08"/>
    <w:rsid w:val="002D411E"/>
    <w:rsid w:val="002D5A4E"/>
    <w:rsid w:val="002D5E31"/>
    <w:rsid w:val="002D6542"/>
    <w:rsid w:val="002D65E6"/>
    <w:rsid w:val="002D6EC9"/>
    <w:rsid w:val="002D74EE"/>
    <w:rsid w:val="002D76E9"/>
    <w:rsid w:val="002D7E24"/>
    <w:rsid w:val="002E00A9"/>
    <w:rsid w:val="002E02DE"/>
    <w:rsid w:val="002E08D6"/>
    <w:rsid w:val="002E17DC"/>
    <w:rsid w:val="002E192C"/>
    <w:rsid w:val="002E1A4F"/>
    <w:rsid w:val="002E1B13"/>
    <w:rsid w:val="002E1BDF"/>
    <w:rsid w:val="002E202F"/>
    <w:rsid w:val="002E26EC"/>
    <w:rsid w:val="002E26EF"/>
    <w:rsid w:val="002E281C"/>
    <w:rsid w:val="002E2E05"/>
    <w:rsid w:val="002E3084"/>
    <w:rsid w:val="002E404B"/>
    <w:rsid w:val="002E4337"/>
    <w:rsid w:val="002E45DA"/>
    <w:rsid w:val="002E467C"/>
    <w:rsid w:val="002E49E9"/>
    <w:rsid w:val="002E50FC"/>
    <w:rsid w:val="002E5233"/>
    <w:rsid w:val="002E6E62"/>
    <w:rsid w:val="002F0318"/>
    <w:rsid w:val="002F04E8"/>
    <w:rsid w:val="002F0513"/>
    <w:rsid w:val="002F1D40"/>
    <w:rsid w:val="002F27A7"/>
    <w:rsid w:val="002F2838"/>
    <w:rsid w:val="002F290F"/>
    <w:rsid w:val="002F293C"/>
    <w:rsid w:val="002F31C8"/>
    <w:rsid w:val="002F3AD1"/>
    <w:rsid w:val="002F40D6"/>
    <w:rsid w:val="002F4311"/>
    <w:rsid w:val="002F44A0"/>
    <w:rsid w:val="002F5D02"/>
    <w:rsid w:val="002F5F96"/>
    <w:rsid w:val="002F6471"/>
    <w:rsid w:val="002F6B35"/>
    <w:rsid w:val="002F6C0D"/>
    <w:rsid w:val="002F6C51"/>
    <w:rsid w:val="002F6DBC"/>
    <w:rsid w:val="002F701D"/>
    <w:rsid w:val="002F7213"/>
    <w:rsid w:val="002F72F0"/>
    <w:rsid w:val="002F7BC4"/>
    <w:rsid w:val="002F7D84"/>
    <w:rsid w:val="002F7D88"/>
    <w:rsid w:val="002F7DE8"/>
    <w:rsid w:val="002F7E10"/>
    <w:rsid w:val="00301DF5"/>
    <w:rsid w:val="00301E4E"/>
    <w:rsid w:val="00302283"/>
    <w:rsid w:val="00302C2E"/>
    <w:rsid w:val="0030379F"/>
    <w:rsid w:val="00303EE8"/>
    <w:rsid w:val="00304169"/>
    <w:rsid w:val="0030452B"/>
    <w:rsid w:val="0030473D"/>
    <w:rsid w:val="00304959"/>
    <w:rsid w:val="00304ACC"/>
    <w:rsid w:val="00305B35"/>
    <w:rsid w:val="00305C1A"/>
    <w:rsid w:val="00306F53"/>
    <w:rsid w:val="00307197"/>
    <w:rsid w:val="003072A3"/>
    <w:rsid w:val="003078C8"/>
    <w:rsid w:val="003079AB"/>
    <w:rsid w:val="00307E60"/>
    <w:rsid w:val="0031050B"/>
    <w:rsid w:val="00310BF7"/>
    <w:rsid w:val="0031167C"/>
    <w:rsid w:val="003123DA"/>
    <w:rsid w:val="0031279F"/>
    <w:rsid w:val="00312FD1"/>
    <w:rsid w:val="00313F45"/>
    <w:rsid w:val="00313F50"/>
    <w:rsid w:val="00314264"/>
    <w:rsid w:val="0031433F"/>
    <w:rsid w:val="00315484"/>
    <w:rsid w:val="00315595"/>
    <w:rsid w:val="00315FC2"/>
    <w:rsid w:val="003168F4"/>
    <w:rsid w:val="00317554"/>
    <w:rsid w:val="00320AB0"/>
    <w:rsid w:val="00321B2B"/>
    <w:rsid w:val="00322ADF"/>
    <w:rsid w:val="003231EF"/>
    <w:rsid w:val="003235EC"/>
    <w:rsid w:val="00323640"/>
    <w:rsid w:val="0032654C"/>
    <w:rsid w:val="00326A58"/>
    <w:rsid w:val="00326D25"/>
    <w:rsid w:val="003273B3"/>
    <w:rsid w:val="0032752B"/>
    <w:rsid w:val="00327974"/>
    <w:rsid w:val="00330107"/>
    <w:rsid w:val="00330524"/>
    <w:rsid w:val="003306FB"/>
    <w:rsid w:val="003314EF"/>
    <w:rsid w:val="003316CD"/>
    <w:rsid w:val="00331727"/>
    <w:rsid w:val="00331ED1"/>
    <w:rsid w:val="00331FAC"/>
    <w:rsid w:val="0033230D"/>
    <w:rsid w:val="00332453"/>
    <w:rsid w:val="003325FF"/>
    <w:rsid w:val="00333947"/>
    <w:rsid w:val="00333F1D"/>
    <w:rsid w:val="00334309"/>
    <w:rsid w:val="003351AD"/>
    <w:rsid w:val="003351D5"/>
    <w:rsid w:val="003359D5"/>
    <w:rsid w:val="00335AC9"/>
    <w:rsid w:val="003360EA"/>
    <w:rsid w:val="003367AA"/>
    <w:rsid w:val="00336B1C"/>
    <w:rsid w:val="00336B1E"/>
    <w:rsid w:val="00336DCA"/>
    <w:rsid w:val="00336ED4"/>
    <w:rsid w:val="00337360"/>
    <w:rsid w:val="003373FB"/>
    <w:rsid w:val="00337659"/>
    <w:rsid w:val="00337AF9"/>
    <w:rsid w:val="00337E88"/>
    <w:rsid w:val="0034036E"/>
    <w:rsid w:val="00340867"/>
    <w:rsid w:val="003414CD"/>
    <w:rsid w:val="00341D8A"/>
    <w:rsid w:val="00342583"/>
    <w:rsid w:val="003425B7"/>
    <w:rsid w:val="00342B7E"/>
    <w:rsid w:val="0034345D"/>
    <w:rsid w:val="00343CCA"/>
    <w:rsid w:val="00343FDB"/>
    <w:rsid w:val="00344157"/>
    <w:rsid w:val="00344749"/>
    <w:rsid w:val="00344DBC"/>
    <w:rsid w:val="00344FD5"/>
    <w:rsid w:val="00345651"/>
    <w:rsid w:val="00345886"/>
    <w:rsid w:val="0034693B"/>
    <w:rsid w:val="00346ADD"/>
    <w:rsid w:val="00346FB3"/>
    <w:rsid w:val="00347A9F"/>
    <w:rsid w:val="0035047B"/>
    <w:rsid w:val="00350E2F"/>
    <w:rsid w:val="00351035"/>
    <w:rsid w:val="0035163D"/>
    <w:rsid w:val="003516DD"/>
    <w:rsid w:val="00351934"/>
    <w:rsid w:val="0035216B"/>
    <w:rsid w:val="003523E2"/>
    <w:rsid w:val="003525F9"/>
    <w:rsid w:val="003528F4"/>
    <w:rsid w:val="003529ED"/>
    <w:rsid w:val="00353586"/>
    <w:rsid w:val="00353965"/>
    <w:rsid w:val="00353ED0"/>
    <w:rsid w:val="0035429A"/>
    <w:rsid w:val="003543E6"/>
    <w:rsid w:val="00354E31"/>
    <w:rsid w:val="00355129"/>
    <w:rsid w:val="00355BED"/>
    <w:rsid w:val="00355EB9"/>
    <w:rsid w:val="003564BA"/>
    <w:rsid w:val="0035652B"/>
    <w:rsid w:val="00356A52"/>
    <w:rsid w:val="003575AF"/>
    <w:rsid w:val="003577FB"/>
    <w:rsid w:val="0036019D"/>
    <w:rsid w:val="003601CB"/>
    <w:rsid w:val="00360BAF"/>
    <w:rsid w:val="00360EF8"/>
    <w:rsid w:val="00360FCD"/>
    <w:rsid w:val="0036196A"/>
    <w:rsid w:val="00361A4E"/>
    <w:rsid w:val="00361C53"/>
    <w:rsid w:val="00361CEC"/>
    <w:rsid w:val="00361ED7"/>
    <w:rsid w:val="0036281E"/>
    <w:rsid w:val="0036289E"/>
    <w:rsid w:val="003628C9"/>
    <w:rsid w:val="0036291F"/>
    <w:rsid w:val="00362D62"/>
    <w:rsid w:val="003630C1"/>
    <w:rsid w:val="003633BE"/>
    <w:rsid w:val="00363F62"/>
    <w:rsid w:val="00364744"/>
    <w:rsid w:val="0036493C"/>
    <w:rsid w:val="00364AFF"/>
    <w:rsid w:val="00365014"/>
    <w:rsid w:val="003658F5"/>
    <w:rsid w:val="00365AD9"/>
    <w:rsid w:val="00365E54"/>
    <w:rsid w:val="0036675C"/>
    <w:rsid w:val="00366972"/>
    <w:rsid w:val="00366C9A"/>
    <w:rsid w:val="003670CF"/>
    <w:rsid w:val="00367566"/>
    <w:rsid w:val="0036795E"/>
    <w:rsid w:val="00367DE2"/>
    <w:rsid w:val="003702D4"/>
    <w:rsid w:val="00370534"/>
    <w:rsid w:val="003707A1"/>
    <w:rsid w:val="00370975"/>
    <w:rsid w:val="00370AED"/>
    <w:rsid w:val="00370FA6"/>
    <w:rsid w:val="003714C1"/>
    <w:rsid w:val="00371A2E"/>
    <w:rsid w:val="00371E44"/>
    <w:rsid w:val="0037219B"/>
    <w:rsid w:val="00372974"/>
    <w:rsid w:val="00372E1E"/>
    <w:rsid w:val="0037307E"/>
    <w:rsid w:val="00373201"/>
    <w:rsid w:val="00374655"/>
    <w:rsid w:val="00374ABC"/>
    <w:rsid w:val="00374DD7"/>
    <w:rsid w:val="003757C6"/>
    <w:rsid w:val="00375D20"/>
    <w:rsid w:val="00375F65"/>
    <w:rsid w:val="00376842"/>
    <w:rsid w:val="00376B83"/>
    <w:rsid w:val="00376D7A"/>
    <w:rsid w:val="00377148"/>
    <w:rsid w:val="003771BA"/>
    <w:rsid w:val="00377432"/>
    <w:rsid w:val="003774A9"/>
    <w:rsid w:val="00377658"/>
    <w:rsid w:val="0037798C"/>
    <w:rsid w:val="00377ADE"/>
    <w:rsid w:val="00377E18"/>
    <w:rsid w:val="003801AB"/>
    <w:rsid w:val="0038086F"/>
    <w:rsid w:val="00381473"/>
    <w:rsid w:val="0038150B"/>
    <w:rsid w:val="00381E27"/>
    <w:rsid w:val="00382C1E"/>
    <w:rsid w:val="00382DFD"/>
    <w:rsid w:val="00382F34"/>
    <w:rsid w:val="00382F48"/>
    <w:rsid w:val="003837C9"/>
    <w:rsid w:val="00383C85"/>
    <w:rsid w:val="00383CB3"/>
    <w:rsid w:val="0038410F"/>
    <w:rsid w:val="003845FD"/>
    <w:rsid w:val="003847BF"/>
    <w:rsid w:val="00385479"/>
    <w:rsid w:val="003857C9"/>
    <w:rsid w:val="003859AA"/>
    <w:rsid w:val="00385E70"/>
    <w:rsid w:val="00386BFE"/>
    <w:rsid w:val="00386CBC"/>
    <w:rsid w:val="003877FB"/>
    <w:rsid w:val="00390353"/>
    <w:rsid w:val="00390F8F"/>
    <w:rsid w:val="00391A6E"/>
    <w:rsid w:val="00392179"/>
    <w:rsid w:val="00392676"/>
    <w:rsid w:val="00392D3F"/>
    <w:rsid w:val="003930DD"/>
    <w:rsid w:val="003930EA"/>
    <w:rsid w:val="0039358A"/>
    <w:rsid w:val="003935C0"/>
    <w:rsid w:val="00393BA6"/>
    <w:rsid w:val="00393D85"/>
    <w:rsid w:val="003940B1"/>
    <w:rsid w:val="003941EE"/>
    <w:rsid w:val="00394475"/>
    <w:rsid w:val="003944DE"/>
    <w:rsid w:val="00394F69"/>
    <w:rsid w:val="003951AB"/>
    <w:rsid w:val="003952A8"/>
    <w:rsid w:val="0039559B"/>
    <w:rsid w:val="00395855"/>
    <w:rsid w:val="00396095"/>
    <w:rsid w:val="00396E64"/>
    <w:rsid w:val="00396EDB"/>
    <w:rsid w:val="003979FC"/>
    <w:rsid w:val="00397E14"/>
    <w:rsid w:val="003A06CA"/>
    <w:rsid w:val="003A152C"/>
    <w:rsid w:val="003A1ECF"/>
    <w:rsid w:val="003A2022"/>
    <w:rsid w:val="003A2130"/>
    <w:rsid w:val="003A276A"/>
    <w:rsid w:val="003A2894"/>
    <w:rsid w:val="003A2B2B"/>
    <w:rsid w:val="003A2B40"/>
    <w:rsid w:val="003A2C60"/>
    <w:rsid w:val="003A3532"/>
    <w:rsid w:val="003A3AA8"/>
    <w:rsid w:val="003A5765"/>
    <w:rsid w:val="003A587F"/>
    <w:rsid w:val="003A5A9B"/>
    <w:rsid w:val="003A6657"/>
    <w:rsid w:val="003A6FA3"/>
    <w:rsid w:val="003A77DA"/>
    <w:rsid w:val="003A7BE1"/>
    <w:rsid w:val="003A7C24"/>
    <w:rsid w:val="003B00AA"/>
    <w:rsid w:val="003B01C5"/>
    <w:rsid w:val="003B02B7"/>
    <w:rsid w:val="003B09A2"/>
    <w:rsid w:val="003B0D75"/>
    <w:rsid w:val="003B1D65"/>
    <w:rsid w:val="003B1F06"/>
    <w:rsid w:val="003B26C2"/>
    <w:rsid w:val="003B2E7A"/>
    <w:rsid w:val="003B3EA4"/>
    <w:rsid w:val="003B43A6"/>
    <w:rsid w:val="003B53FF"/>
    <w:rsid w:val="003B621E"/>
    <w:rsid w:val="003B62E2"/>
    <w:rsid w:val="003B6C95"/>
    <w:rsid w:val="003B6E77"/>
    <w:rsid w:val="003B6FF0"/>
    <w:rsid w:val="003B70F4"/>
    <w:rsid w:val="003B72B7"/>
    <w:rsid w:val="003B72EA"/>
    <w:rsid w:val="003B7633"/>
    <w:rsid w:val="003B7F6C"/>
    <w:rsid w:val="003C08DC"/>
    <w:rsid w:val="003C08E7"/>
    <w:rsid w:val="003C2694"/>
    <w:rsid w:val="003C2BFF"/>
    <w:rsid w:val="003C3425"/>
    <w:rsid w:val="003C4263"/>
    <w:rsid w:val="003C45FA"/>
    <w:rsid w:val="003C4DC2"/>
    <w:rsid w:val="003C50A6"/>
    <w:rsid w:val="003C5388"/>
    <w:rsid w:val="003C5406"/>
    <w:rsid w:val="003C5B5D"/>
    <w:rsid w:val="003C5C1C"/>
    <w:rsid w:val="003C67EF"/>
    <w:rsid w:val="003C6B0E"/>
    <w:rsid w:val="003C6E0D"/>
    <w:rsid w:val="003C7193"/>
    <w:rsid w:val="003D0300"/>
    <w:rsid w:val="003D05BB"/>
    <w:rsid w:val="003D05E9"/>
    <w:rsid w:val="003D0A24"/>
    <w:rsid w:val="003D1718"/>
    <w:rsid w:val="003D1C3A"/>
    <w:rsid w:val="003D2B76"/>
    <w:rsid w:val="003D31C4"/>
    <w:rsid w:val="003D355C"/>
    <w:rsid w:val="003D36F1"/>
    <w:rsid w:val="003D3818"/>
    <w:rsid w:val="003D4883"/>
    <w:rsid w:val="003D4F09"/>
    <w:rsid w:val="003D5025"/>
    <w:rsid w:val="003D57A8"/>
    <w:rsid w:val="003D5816"/>
    <w:rsid w:val="003D5BA1"/>
    <w:rsid w:val="003D5E10"/>
    <w:rsid w:val="003D641C"/>
    <w:rsid w:val="003D6554"/>
    <w:rsid w:val="003D6D37"/>
    <w:rsid w:val="003D6E37"/>
    <w:rsid w:val="003D71A2"/>
    <w:rsid w:val="003D74FF"/>
    <w:rsid w:val="003D7641"/>
    <w:rsid w:val="003E02CB"/>
    <w:rsid w:val="003E1224"/>
    <w:rsid w:val="003E2173"/>
    <w:rsid w:val="003E2243"/>
    <w:rsid w:val="003E2ABC"/>
    <w:rsid w:val="003E3018"/>
    <w:rsid w:val="003E329D"/>
    <w:rsid w:val="003E34FF"/>
    <w:rsid w:val="003E3934"/>
    <w:rsid w:val="003E3EA9"/>
    <w:rsid w:val="003E40C2"/>
    <w:rsid w:val="003E4579"/>
    <w:rsid w:val="003E49D2"/>
    <w:rsid w:val="003E4AA9"/>
    <w:rsid w:val="003E4D55"/>
    <w:rsid w:val="003E4DB9"/>
    <w:rsid w:val="003E4E57"/>
    <w:rsid w:val="003E5148"/>
    <w:rsid w:val="003E698D"/>
    <w:rsid w:val="003E6F25"/>
    <w:rsid w:val="003E7031"/>
    <w:rsid w:val="003E767E"/>
    <w:rsid w:val="003E7C7D"/>
    <w:rsid w:val="003F0234"/>
    <w:rsid w:val="003F038C"/>
    <w:rsid w:val="003F063B"/>
    <w:rsid w:val="003F0CC8"/>
    <w:rsid w:val="003F1380"/>
    <w:rsid w:val="003F15F8"/>
    <w:rsid w:val="003F1B6A"/>
    <w:rsid w:val="003F1B79"/>
    <w:rsid w:val="003F1F2C"/>
    <w:rsid w:val="003F212E"/>
    <w:rsid w:val="003F2132"/>
    <w:rsid w:val="003F2155"/>
    <w:rsid w:val="003F4E5C"/>
    <w:rsid w:val="003F4F36"/>
    <w:rsid w:val="003F4FAD"/>
    <w:rsid w:val="003F5B24"/>
    <w:rsid w:val="003F5BB1"/>
    <w:rsid w:val="003F6BFA"/>
    <w:rsid w:val="003F7065"/>
    <w:rsid w:val="003F7148"/>
    <w:rsid w:val="003F76C8"/>
    <w:rsid w:val="003F76F1"/>
    <w:rsid w:val="003F7999"/>
    <w:rsid w:val="004008F4"/>
    <w:rsid w:val="00402B6E"/>
    <w:rsid w:val="00402D3D"/>
    <w:rsid w:val="00403A51"/>
    <w:rsid w:val="00404506"/>
    <w:rsid w:val="004046E2"/>
    <w:rsid w:val="0040520D"/>
    <w:rsid w:val="00405439"/>
    <w:rsid w:val="00405D92"/>
    <w:rsid w:val="00405F59"/>
    <w:rsid w:val="00406267"/>
    <w:rsid w:val="0040670C"/>
    <w:rsid w:val="00406980"/>
    <w:rsid w:val="004073CF"/>
    <w:rsid w:val="00407551"/>
    <w:rsid w:val="0040777B"/>
    <w:rsid w:val="00407BC6"/>
    <w:rsid w:val="00407F10"/>
    <w:rsid w:val="00411317"/>
    <w:rsid w:val="0041193D"/>
    <w:rsid w:val="0041231F"/>
    <w:rsid w:val="0041280C"/>
    <w:rsid w:val="00412CBD"/>
    <w:rsid w:val="00413092"/>
    <w:rsid w:val="004135ED"/>
    <w:rsid w:val="00413696"/>
    <w:rsid w:val="00413BF9"/>
    <w:rsid w:val="00413D2A"/>
    <w:rsid w:val="004143B5"/>
    <w:rsid w:val="00414492"/>
    <w:rsid w:val="00415077"/>
    <w:rsid w:val="0041580F"/>
    <w:rsid w:val="00416338"/>
    <w:rsid w:val="004164E2"/>
    <w:rsid w:val="00416764"/>
    <w:rsid w:val="00416EBC"/>
    <w:rsid w:val="004172BB"/>
    <w:rsid w:val="00417A26"/>
    <w:rsid w:val="00417E49"/>
    <w:rsid w:val="00417F86"/>
    <w:rsid w:val="00420096"/>
    <w:rsid w:val="004205FB"/>
    <w:rsid w:val="00420714"/>
    <w:rsid w:val="00420E94"/>
    <w:rsid w:val="00420F4B"/>
    <w:rsid w:val="00420FE9"/>
    <w:rsid w:val="00421E0C"/>
    <w:rsid w:val="00421E21"/>
    <w:rsid w:val="00422DE5"/>
    <w:rsid w:val="00422FB3"/>
    <w:rsid w:val="00423DBC"/>
    <w:rsid w:val="00423EEE"/>
    <w:rsid w:val="004251F6"/>
    <w:rsid w:val="004255EE"/>
    <w:rsid w:val="00425B61"/>
    <w:rsid w:val="00425C15"/>
    <w:rsid w:val="00425C1D"/>
    <w:rsid w:val="00425D36"/>
    <w:rsid w:val="00425DC2"/>
    <w:rsid w:val="004262EE"/>
    <w:rsid w:val="004266C9"/>
    <w:rsid w:val="00426997"/>
    <w:rsid w:val="0042744A"/>
    <w:rsid w:val="0042786F"/>
    <w:rsid w:val="00427E0C"/>
    <w:rsid w:val="004302F8"/>
    <w:rsid w:val="004304FD"/>
    <w:rsid w:val="0043055E"/>
    <w:rsid w:val="00430E33"/>
    <w:rsid w:val="00430FF9"/>
    <w:rsid w:val="004320DD"/>
    <w:rsid w:val="004320E5"/>
    <w:rsid w:val="00432589"/>
    <w:rsid w:val="00432664"/>
    <w:rsid w:val="00432AF1"/>
    <w:rsid w:val="00432AF8"/>
    <w:rsid w:val="00432F76"/>
    <w:rsid w:val="00432FB1"/>
    <w:rsid w:val="0043331A"/>
    <w:rsid w:val="004338E6"/>
    <w:rsid w:val="00433CF5"/>
    <w:rsid w:val="00434373"/>
    <w:rsid w:val="004345E2"/>
    <w:rsid w:val="004352E8"/>
    <w:rsid w:val="004356FD"/>
    <w:rsid w:val="00435751"/>
    <w:rsid w:val="00436997"/>
    <w:rsid w:val="00436E6B"/>
    <w:rsid w:val="004372AF"/>
    <w:rsid w:val="0043747B"/>
    <w:rsid w:val="0043770D"/>
    <w:rsid w:val="0043799C"/>
    <w:rsid w:val="00437BAE"/>
    <w:rsid w:val="00437DEF"/>
    <w:rsid w:val="00440161"/>
    <w:rsid w:val="004401E7"/>
    <w:rsid w:val="004404FD"/>
    <w:rsid w:val="004408F1"/>
    <w:rsid w:val="00440A94"/>
    <w:rsid w:val="00440C8D"/>
    <w:rsid w:val="00440CA7"/>
    <w:rsid w:val="00440F8B"/>
    <w:rsid w:val="004411B6"/>
    <w:rsid w:val="00441667"/>
    <w:rsid w:val="004417BA"/>
    <w:rsid w:val="00442690"/>
    <w:rsid w:val="00442785"/>
    <w:rsid w:val="00442EEA"/>
    <w:rsid w:val="0044338F"/>
    <w:rsid w:val="0044342C"/>
    <w:rsid w:val="00443941"/>
    <w:rsid w:val="00443EDE"/>
    <w:rsid w:val="00444031"/>
    <w:rsid w:val="00445669"/>
    <w:rsid w:val="00445960"/>
    <w:rsid w:val="00445D57"/>
    <w:rsid w:val="00445DC6"/>
    <w:rsid w:val="00446758"/>
    <w:rsid w:val="00446F35"/>
    <w:rsid w:val="00447075"/>
    <w:rsid w:val="0044715A"/>
    <w:rsid w:val="004471D6"/>
    <w:rsid w:val="004476C3"/>
    <w:rsid w:val="00447C76"/>
    <w:rsid w:val="004501AF"/>
    <w:rsid w:val="004503E3"/>
    <w:rsid w:val="00450973"/>
    <w:rsid w:val="0045155A"/>
    <w:rsid w:val="004518E7"/>
    <w:rsid w:val="00451DAA"/>
    <w:rsid w:val="0045201B"/>
    <w:rsid w:val="00452227"/>
    <w:rsid w:val="0045254E"/>
    <w:rsid w:val="004526BC"/>
    <w:rsid w:val="004526FE"/>
    <w:rsid w:val="00452779"/>
    <w:rsid w:val="004529B5"/>
    <w:rsid w:val="00452A3F"/>
    <w:rsid w:val="00452B3A"/>
    <w:rsid w:val="00453EAE"/>
    <w:rsid w:val="00454137"/>
    <w:rsid w:val="00454169"/>
    <w:rsid w:val="0045467C"/>
    <w:rsid w:val="0045507B"/>
    <w:rsid w:val="004552F4"/>
    <w:rsid w:val="00455524"/>
    <w:rsid w:val="00455F0B"/>
    <w:rsid w:val="004563DA"/>
    <w:rsid w:val="004564F8"/>
    <w:rsid w:val="00456595"/>
    <w:rsid w:val="00456DA2"/>
    <w:rsid w:val="00457676"/>
    <w:rsid w:val="004602BA"/>
    <w:rsid w:val="00460387"/>
    <w:rsid w:val="00460580"/>
    <w:rsid w:val="004607A6"/>
    <w:rsid w:val="0046176D"/>
    <w:rsid w:val="00462523"/>
    <w:rsid w:val="0046283E"/>
    <w:rsid w:val="004628E3"/>
    <w:rsid w:val="004629BF"/>
    <w:rsid w:val="00462DA6"/>
    <w:rsid w:val="00462E98"/>
    <w:rsid w:val="00463A03"/>
    <w:rsid w:val="00463E1F"/>
    <w:rsid w:val="00464163"/>
    <w:rsid w:val="0046421C"/>
    <w:rsid w:val="00464B91"/>
    <w:rsid w:val="00464BBE"/>
    <w:rsid w:val="00464C64"/>
    <w:rsid w:val="00465171"/>
    <w:rsid w:val="0046532F"/>
    <w:rsid w:val="00465B16"/>
    <w:rsid w:val="00465D4B"/>
    <w:rsid w:val="00465E7E"/>
    <w:rsid w:val="00465EBA"/>
    <w:rsid w:val="00467B50"/>
    <w:rsid w:val="004701DA"/>
    <w:rsid w:val="00470604"/>
    <w:rsid w:val="00470876"/>
    <w:rsid w:val="00470AC9"/>
    <w:rsid w:val="004725A8"/>
    <w:rsid w:val="00473BA6"/>
    <w:rsid w:val="00474314"/>
    <w:rsid w:val="004746C4"/>
    <w:rsid w:val="004747EE"/>
    <w:rsid w:val="004748CA"/>
    <w:rsid w:val="00474CD9"/>
    <w:rsid w:val="00474D31"/>
    <w:rsid w:val="0047550A"/>
    <w:rsid w:val="00476210"/>
    <w:rsid w:val="0047633B"/>
    <w:rsid w:val="004772D0"/>
    <w:rsid w:val="0047734D"/>
    <w:rsid w:val="00477DB0"/>
    <w:rsid w:val="004801AE"/>
    <w:rsid w:val="00480388"/>
    <w:rsid w:val="0048051D"/>
    <w:rsid w:val="004808A4"/>
    <w:rsid w:val="00480E38"/>
    <w:rsid w:val="004816C3"/>
    <w:rsid w:val="004816F5"/>
    <w:rsid w:val="004818CE"/>
    <w:rsid w:val="004818FE"/>
    <w:rsid w:val="00481D70"/>
    <w:rsid w:val="0048240F"/>
    <w:rsid w:val="00482D07"/>
    <w:rsid w:val="0048356F"/>
    <w:rsid w:val="0048370A"/>
    <w:rsid w:val="004838D6"/>
    <w:rsid w:val="00483CE0"/>
    <w:rsid w:val="00483D20"/>
    <w:rsid w:val="00484328"/>
    <w:rsid w:val="004850ED"/>
    <w:rsid w:val="00485229"/>
    <w:rsid w:val="00486073"/>
    <w:rsid w:val="00486E01"/>
    <w:rsid w:val="00486EDB"/>
    <w:rsid w:val="0048707D"/>
    <w:rsid w:val="004873E3"/>
    <w:rsid w:val="00487AD1"/>
    <w:rsid w:val="00490071"/>
    <w:rsid w:val="00490221"/>
    <w:rsid w:val="004903EF"/>
    <w:rsid w:val="00490E2C"/>
    <w:rsid w:val="00490F08"/>
    <w:rsid w:val="00491136"/>
    <w:rsid w:val="004912CD"/>
    <w:rsid w:val="0049187F"/>
    <w:rsid w:val="00491B52"/>
    <w:rsid w:val="00491D35"/>
    <w:rsid w:val="00492318"/>
    <w:rsid w:val="004927B3"/>
    <w:rsid w:val="004929C0"/>
    <w:rsid w:val="00492DC3"/>
    <w:rsid w:val="00492EB7"/>
    <w:rsid w:val="00493B8F"/>
    <w:rsid w:val="0049455F"/>
    <w:rsid w:val="00495083"/>
    <w:rsid w:val="00495240"/>
    <w:rsid w:val="004958C0"/>
    <w:rsid w:val="0049595A"/>
    <w:rsid w:val="00495FFD"/>
    <w:rsid w:val="00496771"/>
    <w:rsid w:val="00496F56"/>
    <w:rsid w:val="00496FB5"/>
    <w:rsid w:val="00497479"/>
    <w:rsid w:val="00497AA7"/>
    <w:rsid w:val="00497DB5"/>
    <w:rsid w:val="00497F70"/>
    <w:rsid w:val="004A03F8"/>
    <w:rsid w:val="004A0617"/>
    <w:rsid w:val="004A07B9"/>
    <w:rsid w:val="004A18B9"/>
    <w:rsid w:val="004A1B4D"/>
    <w:rsid w:val="004A2B84"/>
    <w:rsid w:val="004A2FAF"/>
    <w:rsid w:val="004A315D"/>
    <w:rsid w:val="004A3BB7"/>
    <w:rsid w:val="004A3DAF"/>
    <w:rsid w:val="004A3E06"/>
    <w:rsid w:val="004A4D05"/>
    <w:rsid w:val="004A526F"/>
    <w:rsid w:val="004A5360"/>
    <w:rsid w:val="004A69B0"/>
    <w:rsid w:val="004A6BFD"/>
    <w:rsid w:val="004A6DB2"/>
    <w:rsid w:val="004A6F69"/>
    <w:rsid w:val="004A79D1"/>
    <w:rsid w:val="004A7A27"/>
    <w:rsid w:val="004A7CA7"/>
    <w:rsid w:val="004A7EBF"/>
    <w:rsid w:val="004B0308"/>
    <w:rsid w:val="004B03A5"/>
    <w:rsid w:val="004B0479"/>
    <w:rsid w:val="004B0581"/>
    <w:rsid w:val="004B0B01"/>
    <w:rsid w:val="004B0EF2"/>
    <w:rsid w:val="004B15B0"/>
    <w:rsid w:val="004B1D78"/>
    <w:rsid w:val="004B20F0"/>
    <w:rsid w:val="004B26BA"/>
    <w:rsid w:val="004B2BA5"/>
    <w:rsid w:val="004B2BAF"/>
    <w:rsid w:val="004B2D0C"/>
    <w:rsid w:val="004B3747"/>
    <w:rsid w:val="004B3AAB"/>
    <w:rsid w:val="004B4B38"/>
    <w:rsid w:val="004B51D6"/>
    <w:rsid w:val="004B6089"/>
    <w:rsid w:val="004B6759"/>
    <w:rsid w:val="004B68E0"/>
    <w:rsid w:val="004B6CAC"/>
    <w:rsid w:val="004B7548"/>
    <w:rsid w:val="004B7BA1"/>
    <w:rsid w:val="004B7C8E"/>
    <w:rsid w:val="004C04C2"/>
    <w:rsid w:val="004C0AD3"/>
    <w:rsid w:val="004C0CE1"/>
    <w:rsid w:val="004C0F3C"/>
    <w:rsid w:val="004C113F"/>
    <w:rsid w:val="004C13F0"/>
    <w:rsid w:val="004C1763"/>
    <w:rsid w:val="004C28DF"/>
    <w:rsid w:val="004C29F8"/>
    <w:rsid w:val="004C2BF6"/>
    <w:rsid w:val="004C32F4"/>
    <w:rsid w:val="004C35C9"/>
    <w:rsid w:val="004C3670"/>
    <w:rsid w:val="004C36BF"/>
    <w:rsid w:val="004C3769"/>
    <w:rsid w:val="004C3EBD"/>
    <w:rsid w:val="004C4458"/>
    <w:rsid w:val="004C4924"/>
    <w:rsid w:val="004C4AE7"/>
    <w:rsid w:val="004C4DD6"/>
    <w:rsid w:val="004C52D4"/>
    <w:rsid w:val="004C52D7"/>
    <w:rsid w:val="004C6AF7"/>
    <w:rsid w:val="004C7494"/>
    <w:rsid w:val="004C7CE6"/>
    <w:rsid w:val="004C7D14"/>
    <w:rsid w:val="004C7D36"/>
    <w:rsid w:val="004D07E2"/>
    <w:rsid w:val="004D08D0"/>
    <w:rsid w:val="004D08F3"/>
    <w:rsid w:val="004D1F07"/>
    <w:rsid w:val="004D20E4"/>
    <w:rsid w:val="004D2119"/>
    <w:rsid w:val="004D295F"/>
    <w:rsid w:val="004D29A6"/>
    <w:rsid w:val="004D2E1D"/>
    <w:rsid w:val="004D3430"/>
    <w:rsid w:val="004D360F"/>
    <w:rsid w:val="004D3815"/>
    <w:rsid w:val="004D423B"/>
    <w:rsid w:val="004D4B0E"/>
    <w:rsid w:val="004D5581"/>
    <w:rsid w:val="004D5D50"/>
    <w:rsid w:val="004D60BC"/>
    <w:rsid w:val="004D6806"/>
    <w:rsid w:val="004D7042"/>
    <w:rsid w:val="004D7A92"/>
    <w:rsid w:val="004D7C58"/>
    <w:rsid w:val="004E00A9"/>
    <w:rsid w:val="004E068E"/>
    <w:rsid w:val="004E0944"/>
    <w:rsid w:val="004E0B19"/>
    <w:rsid w:val="004E16EE"/>
    <w:rsid w:val="004E1CDE"/>
    <w:rsid w:val="004E1E20"/>
    <w:rsid w:val="004E22AB"/>
    <w:rsid w:val="004E240C"/>
    <w:rsid w:val="004E2648"/>
    <w:rsid w:val="004E29E7"/>
    <w:rsid w:val="004E2AEF"/>
    <w:rsid w:val="004E2BB9"/>
    <w:rsid w:val="004E3611"/>
    <w:rsid w:val="004E3645"/>
    <w:rsid w:val="004E3663"/>
    <w:rsid w:val="004E370F"/>
    <w:rsid w:val="004E3C83"/>
    <w:rsid w:val="004E4232"/>
    <w:rsid w:val="004E43C8"/>
    <w:rsid w:val="004E44CD"/>
    <w:rsid w:val="004E456E"/>
    <w:rsid w:val="004E4622"/>
    <w:rsid w:val="004E46F6"/>
    <w:rsid w:val="004E48E6"/>
    <w:rsid w:val="004E5162"/>
    <w:rsid w:val="004E575A"/>
    <w:rsid w:val="004E58C3"/>
    <w:rsid w:val="004E6281"/>
    <w:rsid w:val="004E6AB8"/>
    <w:rsid w:val="004F003B"/>
    <w:rsid w:val="004F025E"/>
    <w:rsid w:val="004F18CF"/>
    <w:rsid w:val="004F1D58"/>
    <w:rsid w:val="004F2524"/>
    <w:rsid w:val="004F283C"/>
    <w:rsid w:val="004F2B33"/>
    <w:rsid w:val="004F2C22"/>
    <w:rsid w:val="004F44F8"/>
    <w:rsid w:val="004F454D"/>
    <w:rsid w:val="004F4DFA"/>
    <w:rsid w:val="004F4EA5"/>
    <w:rsid w:val="004F5561"/>
    <w:rsid w:val="004F68DD"/>
    <w:rsid w:val="004F7004"/>
    <w:rsid w:val="004F7CFD"/>
    <w:rsid w:val="00500245"/>
    <w:rsid w:val="0050043D"/>
    <w:rsid w:val="0050069C"/>
    <w:rsid w:val="005008AE"/>
    <w:rsid w:val="00500AC7"/>
    <w:rsid w:val="00500CCD"/>
    <w:rsid w:val="00500F83"/>
    <w:rsid w:val="00501194"/>
    <w:rsid w:val="005021C1"/>
    <w:rsid w:val="00502304"/>
    <w:rsid w:val="005027F3"/>
    <w:rsid w:val="00502A27"/>
    <w:rsid w:val="0050374D"/>
    <w:rsid w:val="005045EB"/>
    <w:rsid w:val="005059EE"/>
    <w:rsid w:val="00505D8C"/>
    <w:rsid w:val="00505E30"/>
    <w:rsid w:val="00506947"/>
    <w:rsid w:val="005069DD"/>
    <w:rsid w:val="00507002"/>
    <w:rsid w:val="005077D4"/>
    <w:rsid w:val="00507846"/>
    <w:rsid w:val="00507AE7"/>
    <w:rsid w:val="00511236"/>
    <w:rsid w:val="005119E6"/>
    <w:rsid w:val="00512770"/>
    <w:rsid w:val="00512F94"/>
    <w:rsid w:val="00512FB8"/>
    <w:rsid w:val="0051309D"/>
    <w:rsid w:val="00513151"/>
    <w:rsid w:val="005132FC"/>
    <w:rsid w:val="005138D5"/>
    <w:rsid w:val="00513DA1"/>
    <w:rsid w:val="0051495D"/>
    <w:rsid w:val="00514EC8"/>
    <w:rsid w:val="005155EA"/>
    <w:rsid w:val="00515767"/>
    <w:rsid w:val="005157D5"/>
    <w:rsid w:val="0051598D"/>
    <w:rsid w:val="005159B3"/>
    <w:rsid w:val="00515B59"/>
    <w:rsid w:val="00515F81"/>
    <w:rsid w:val="00515FBD"/>
    <w:rsid w:val="00516078"/>
    <w:rsid w:val="005162FD"/>
    <w:rsid w:val="0051689A"/>
    <w:rsid w:val="005169E9"/>
    <w:rsid w:val="005179AC"/>
    <w:rsid w:val="005179DA"/>
    <w:rsid w:val="00517AD9"/>
    <w:rsid w:val="00517D0F"/>
    <w:rsid w:val="00517D20"/>
    <w:rsid w:val="005206F5"/>
    <w:rsid w:val="00520BCE"/>
    <w:rsid w:val="00520F31"/>
    <w:rsid w:val="00521485"/>
    <w:rsid w:val="005217A5"/>
    <w:rsid w:val="00522111"/>
    <w:rsid w:val="00522552"/>
    <w:rsid w:val="005226B9"/>
    <w:rsid w:val="005227EA"/>
    <w:rsid w:val="005230F5"/>
    <w:rsid w:val="00523F66"/>
    <w:rsid w:val="005245D3"/>
    <w:rsid w:val="00525CDD"/>
    <w:rsid w:val="00525D9F"/>
    <w:rsid w:val="0052641D"/>
    <w:rsid w:val="00526803"/>
    <w:rsid w:val="005277E7"/>
    <w:rsid w:val="00527A91"/>
    <w:rsid w:val="00527E51"/>
    <w:rsid w:val="00530585"/>
    <w:rsid w:val="00530BA0"/>
    <w:rsid w:val="00531ECF"/>
    <w:rsid w:val="00531F7A"/>
    <w:rsid w:val="005326A9"/>
    <w:rsid w:val="005327BA"/>
    <w:rsid w:val="00532EA1"/>
    <w:rsid w:val="00532F3A"/>
    <w:rsid w:val="00533293"/>
    <w:rsid w:val="00533BE8"/>
    <w:rsid w:val="00533DBE"/>
    <w:rsid w:val="00533F11"/>
    <w:rsid w:val="00534847"/>
    <w:rsid w:val="00534BA2"/>
    <w:rsid w:val="00535502"/>
    <w:rsid w:val="00535E5F"/>
    <w:rsid w:val="00536BD5"/>
    <w:rsid w:val="005371AC"/>
    <w:rsid w:val="0053776A"/>
    <w:rsid w:val="005379EF"/>
    <w:rsid w:val="00537FC6"/>
    <w:rsid w:val="00540479"/>
    <w:rsid w:val="0054082C"/>
    <w:rsid w:val="00540848"/>
    <w:rsid w:val="0054155B"/>
    <w:rsid w:val="005419CA"/>
    <w:rsid w:val="00541A30"/>
    <w:rsid w:val="00541F07"/>
    <w:rsid w:val="00542447"/>
    <w:rsid w:val="005424CB"/>
    <w:rsid w:val="00542572"/>
    <w:rsid w:val="005426BF"/>
    <w:rsid w:val="00542A79"/>
    <w:rsid w:val="00542D18"/>
    <w:rsid w:val="00543BA7"/>
    <w:rsid w:val="00543BDE"/>
    <w:rsid w:val="00543F55"/>
    <w:rsid w:val="0054417B"/>
    <w:rsid w:val="0054448F"/>
    <w:rsid w:val="00544658"/>
    <w:rsid w:val="005446D0"/>
    <w:rsid w:val="005446F5"/>
    <w:rsid w:val="00544723"/>
    <w:rsid w:val="00544DC7"/>
    <w:rsid w:val="00545E7F"/>
    <w:rsid w:val="005464EC"/>
    <w:rsid w:val="00546756"/>
    <w:rsid w:val="00546A5B"/>
    <w:rsid w:val="00546FC7"/>
    <w:rsid w:val="0054729D"/>
    <w:rsid w:val="005508F8"/>
    <w:rsid w:val="00550E69"/>
    <w:rsid w:val="005511E9"/>
    <w:rsid w:val="005515AE"/>
    <w:rsid w:val="00551FAA"/>
    <w:rsid w:val="005520C1"/>
    <w:rsid w:val="00552570"/>
    <w:rsid w:val="00552666"/>
    <w:rsid w:val="005526D4"/>
    <w:rsid w:val="005526F2"/>
    <w:rsid w:val="00553668"/>
    <w:rsid w:val="00553940"/>
    <w:rsid w:val="00553A71"/>
    <w:rsid w:val="00554518"/>
    <w:rsid w:val="00554676"/>
    <w:rsid w:val="005547ED"/>
    <w:rsid w:val="00554FB5"/>
    <w:rsid w:val="00555173"/>
    <w:rsid w:val="00555202"/>
    <w:rsid w:val="00555849"/>
    <w:rsid w:val="0055587D"/>
    <w:rsid w:val="0055625C"/>
    <w:rsid w:val="005567E6"/>
    <w:rsid w:val="00556B85"/>
    <w:rsid w:val="00556CB5"/>
    <w:rsid w:val="00557F14"/>
    <w:rsid w:val="00557F3A"/>
    <w:rsid w:val="0056024C"/>
    <w:rsid w:val="00560354"/>
    <w:rsid w:val="00560BFF"/>
    <w:rsid w:val="00560E04"/>
    <w:rsid w:val="00560FE1"/>
    <w:rsid w:val="005616BB"/>
    <w:rsid w:val="005616CE"/>
    <w:rsid w:val="00561C83"/>
    <w:rsid w:val="00561D84"/>
    <w:rsid w:val="00562292"/>
    <w:rsid w:val="005624A4"/>
    <w:rsid w:val="00562569"/>
    <w:rsid w:val="00562C8F"/>
    <w:rsid w:val="00562EDB"/>
    <w:rsid w:val="005632ED"/>
    <w:rsid w:val="005633B2"/>
    <w:rsid w:val="00563430"/>
    <w:rsid w:val="00563904"/>
    <w:rsid w:val="00563C93"/>
    <w:rsid w:val="0056410C"/>
    <w:rsid w:val="00564926"/>
    <w:rsid w:val="00564CE5"/>
    <w:rsid w:val="00564DFD"/>
    <w:rsid w:val="00565031"/>
    <w:rsid w:val="0056507A"/>
    <w:rsid w:val="005659ED"/>
    <w:rsid w:val="00565A6E"/>
    <w:rsid w:val="00565B4A"/>
    <w:rsid w:val="00565C8C"/>
    <w:rsid w:val="005666B5"/>
    <w:rsid w:val="00566C5C"/>
    <w:rsid w:val="00566EFC"/>
    <w:rsid w:val="00567515"/>
    <w:rsid w:val="00567767"/>
    <w:rsid w:val="00567B73"/>
    <w:rsid w:val="00567F88"/>
    <w:rsid w:val="00570148"/>
    <w:rsid w:val="00570E45"/>
    <w:rsid w:val="00571108"/>
    <w:rsid w:val="00571CC1"/>
    <w:rsid w:val="00571DFC"/>
    <w:rsid w:val="005721E3"/>
    <w:rsid w:val="00572FAD"/>
    <w:rsid w:val="0057313D"/>
    <w:rsid w:val="005737C7"/>
    <w:rsid w:val="00575701"/>
    <w:rsid w:val="00575934"/>
    <w:rsid w:val="00575B25"/>
    <w:rsid w:val="00576385"/>
    <w:rsid w:val="0057642E"/>
    <w:rsid w:val="005765D0"/>
    <w:rsid w:val="00576FD7"/>
    <w:rsid w:val="005770E9"/>
    <w:rsid w:val="00577430"/>
    <w:rsid w:val="00577453"/>
    <w:rsid w:val="00577853"/>
    <w:rsid w:val="00577D79"/>
    <w:rsid w:val="00580CEA"/>
    <w:rsid w:val="00580D2F"/>
    <w:rsid w:val="0058134F"/>
    <w:rsid w:val="00581590"/>
    <w:rsid w:val="005815DC"/>
    <w:rsid w:val="00581A3F"/>
    <w:rsid w:val="00581AAD"/>
    <w:rsid w:val="005821FA"/>
    <w:rsid w:val="00582694"/>
    <w:rsid w:val="00582798"/>
    <w:rsid w:val="00582C9C"/>
    <w:rsid w:val="005836A0"/>
    <w:rsid w:val="00583871"/>
    <w:rsid w:val="00583D46"/>
    <w:rsid w:val="00584152"/>
    <w:rsid w:val="005854C5"/>
    <w:rsid w:val="005854DC"/>
    <w:rsid w:val="00585853"/>
    <w:rsid w:val="00586251"/>
    <w:rsid w:val="00586790"/>
    <w:rsid w:val="0058690D"/>
    <w:rsid w:val="00586986"/>
    <w:rsid w:val="00586C44"/>
    <w:rsid w:val="00586F77"/>
    <w:rsid w:val="005903D3"/>
    <w:rsid w:val="005918A7"/>
    <w:rsid w:val="00591D27"/>
    <w:rsid w:val="005923D2"/>
    <w:rsid w:val="005924AA"/>
    <w:rsid w:val="00592B43"/>
    <w:rsid w:val="005930EE"/>
    <w:rsid w:val="00593D7B"/>
    <w:rsid w:val="00593F8F"/>
    <w:rsid w:val="00594373"/>
    <w:rsid w:val="00594BE4"/>
    <w:rsid w:val="00595197"/>
    <w:rsid w:val="005957A4"/>
    <w:rsid w:val="00597907"/>
    <w:rsid w:val="00597F37"/>
    <w:rsid w:val="005A05B5"/>
    <w:rsid w:val="005A08EC"/>
    <w:rsid w:val="005A0C6D"/>
    <w:rsid w:val="005A0FDA"/>
    <w:rsid w:val="005A13AC"/>
    <w:rsid w:val="005A27C6"/>
    <w:rsid w:val="005A2999"/>
    <w:rsid w:val="005A3CE4"/>
    <w:rsid w:val="005A43CE"/>
    <w:rsid w:val="005A4F0D"/>
    <w:rsid w:val="005A5283"/>
    <w:rsid w:val="005A581B"/>
    <w:rsid w:val="005A6C18"/>
    <w:rsid w:val="005A71B4"/>
    <w:rsid w:val="005A737B"/>
    <w:rsid w:val="005A790F"/>
    <w:rsid w:val="005A7FC4"/>
    <w:rsid w:val="005B00AF"/>
    <w:rsid w:val="005B0829"/>
    <w:rsid w:val="005B0ECD"/>
    <w:rsid w:val="005B0F50"/>
    <w:rsid w:val="005B1374"/>
    <w:rsid w:val="005B186D"/>
    <w:rsid w:val="005B1EDA"/>
    <w:rsid w:val="005B1FBE"/>
    <w:rsid w:val="005B2450"/>
    <w:rsid w:val="005B36D3"/>
    <w:rsid w:val="005B444A"/>
    <w:rsid w:val="005B4522"/>
    <w:rsid w:val="005B4C3E"/>
    <w:rsid w:val="005B4E75"/>
    <w:rsid w:val="005B51BB"/>
    <w:rsid w:val="005B5754"/>
    <w:rsid w:val="005B589A"/>
    <w:rsid w:val="005B58CB"/>
    <w:rsid w:val="005B58CE"/>
    <w:rsid w:val="005B5F7B"/>
    <w:rsid w:val="005B6926"/>
    <w:rsid w:val="005B78FA"/>
    <w:rsid w:val="005B7AF1"/>
    <w:rsid w:val="005B7C64"/>
    <w:rsid w:val="005C0AD2"/>
    <w:rsid w:val="005C1799"/>
    <w:rsid w:val="005C1BB7"/>
    <w:rsid w:val="005C21A3"/>
    <w:rsid w:val="005C2403"/>
    <w:rsid w:val="005C2985"/>
    <w:rsid w:val="005C2CB9"/>
    <w:rsid w:val="005C2E19"/>
    <w:rsid w:val="005C2E75"/>
    <w:rsid w:val="005C31D2"/>
    <w:rsid w:val="005C4B8D"/>
    <w:rsid w:val="005C5AE6"/>
    <w:rsid w:val="005C634A"/>
    <w:rsid w:val="005C69B6"/>
    <w:rsid w:val="005D0238"/>
    <w:rsid w:val="005D02B2"/>
    <w:rsid w:val="005D02D8"/>
    <w:rsid w:val="005D076F"/>
    <w:rsid w:val="005D0FB0"/>
    <w:rsid w:val="005D1101"/>
    <w:rsid w:val="005D1250"/>
    <w:rsid w:val="005D1492"/>
    <w:rsid w:val="005D159E"/>
    <w:rsid w:val="005D15E5"/>
    <w:rsid w:val="005D197B"/>
    <w:rsid w:val="005D2BDD"/>
    <w:rsid w:val="005D3124"/>
    <w:rsid w:val="005D3593"/>
    <w:rsid w:val="005D419C"/>
    <w:rsid w:val="005D44B3"/>
    <w:rsid w:val="005D47D3"/>
    <w:rsid w:val="005D4DED"/>
    <w:rsid w:val="005D4FCE"/>
    <w:rsid w:val="005D5249"/>
    <w:rsid w:val="005D5368"/>
    <w:rsid w:val="005D5768"/>
    <w:rsid w:val="005D5EAD"/>
    <w:rsid w:val="005D6005"/>
    <w:rsid w:val="005D60E2"/>
    <w:rsid w:val="005D624E"/>
    <w:rsid w:val="005D6544"/>
    <w:rsid w:val="005D65A7"/>
    <w:rsid w:val="005D66A0"/>
    <w:rsid w:val="005D7279"/>
    <w:rsid w:val="005E0B7C"/>
    <w:rsid w:val="005E0EA9"/>
    <w:rsid w:val="005E11A4"/>
    <w:rsid w:val="005E14D6"/>
    <w:rsid w:val="005E16EF"/>
    <w:rsid w:val="005E2176"/>
    <w:rsid w:val="005E22B5"/>
    <w:rsid w:val="005E2744"/>
    <w:rsid w:val="005E2F00"/>
    <w:rsid w:val="005E30EB"/>
    <w:rsid w:val="005E328E"/>
    <w:rsid w:val="005E33E4"/>
    <w:rsid w:val="005E373C"/>
    <w:rsid w:val="005E37AB"/>
    <w:rsid w:val="005E3F2F"/>
    <w:rsid w:val="005E407A"/>
    <w:rsid w:val="005E4284"/>
    <w:rsid w:val="005E4AA8"/>
    <w:rsid w:val="005E533C"/>
    <w:rsid w:val="005E54DC"/>
    <w:rsid w:val="005E54EE"/>
    <w:rsid w:val="005E56B5"/>
    <w:rsid w:val="005E5788"/>
    <w:rsid w:val="005E6036"/>
    <w:rsid w:val="005E6E0A"/>
    <w:rsid w:val="005E7C52"/>
    <w:rsid w:val="005F00B4"/>
    <w:rsid w:val="005F0E72"/>
    <w:rsid w:val="005F1522"/>
    <w:rsid w:val="005F1732"/>
    <w:rsid w:val="005F1958"/>
    <w:rsid w:val="005F2347"/>
    <w:rsid w:val="005F253E"/>
    <w:rsid w:val="005F2BEA"/>
    <w:rsid w:val="005F3591"/>
    <w:rsid w:val="005F4541"/>
    <w:rsid w:val="005F4885"/>
    <w:rsid w:val="005F56DB"/>
    <w:rsid w:val="005F5A85"/>
    <w:rsid w:val="005F5B68"/>
    <w:rsid w:val="005F618C"/>
    <w:rsid w:val="005F6439"/>
    <w:rsid w:val="005F649A"/>
    <w:rsid w:val="005F74C9"/>
    <w:rsid w:val="005F7E18"/>
    <w:rsid w:val="00600BB2"/>
    <w:rsid w:val="00601396"/>
    <w:rsid w:val="006014BD"/>
    <w:rsid w:val="00601C68"/>
    <w:rsid w:val="00601EE4"/>
    <w:rsid w:val="00602722"/>
    <w:rsid w:val="00602C52"/>
    <w:rsid w:val="00603405"/>
    <w:rsid w:val="006038CF"/>
    <w:rsid w:val="00604054"/>
    <w:rsid w:val="0060512B"/>
    <w:rsid w:val="00605633"/>
    <w:rsid w:val="006058DD"/>
    <w:rsid w:val="006067F4"/>
    <w:rsid w:val="006068DE"/>
    <w:rsid w:val="00607122"/>
    <w:rsid w:val="0060787E"/>
    <w:rsid w:val="00607CC8"/>
    <w:rsid w:val="00611072"/>
    <w:rsid w:val="0061124D"/>
    <w:rsid w:val="00611274"/>
    <w:rsid w:val="0061176E"/>
    <w:rsid w:val="00611B8F"/>
    <w:rsid w:val="0061214E"/>
    <w:rsid w:val="006123DE"/>
    <w:rsid w:val="00613567"/>
    <w:rsid w:val="0061460B"/>
    <w:rsid w:val="006148F1"/>
    <w:rsid w:val="00614A20"/>
    <w:rsid w:val="00614EF2"/>
    <w:rsid w:val="006152F3"/>
    <w:rsid w:val="00615F89"/>
    <w:rsid w:val="006164C2"/>
    <w:rsid w:val="006164DC"/>
    <w:rsid w:val="00617005"/>
    <w:rsid w:val="00617B63"/>
    <w:rsid w:val="00620F14"/>
    <w:rsid w:val="006215E4"/>
    <w:rsid w:val="00621CD2"/>
    <w:rsid w:val="006221F2"/>
    <w:rsid w:val="00622418"/>
    <w:rsid w:val="006227A9"/>
    <w:rsid w:val="0062292C"/>
    <w:rsid w:val="00622BB8"/>
    <w:rsid w:val="00622E44"/>
    <w:rsid w:val="0062403D"/>
    <w:rsid w:val="00624842"/>
    <w:rsid w:val="006248BE"/>
    <w:rsid w:val="00624BC2"/>
    <w:rsid w:val="006255B8"/>
    <w:rsid w:val="0062567D"/>
    <w:rsid w:val="00625E84"/>
    <w:rsid w:val="006260D9"/>
    <w:rsid w:val="00626A20"/>
    <w:rsid w:val="00626DA0"/>
    <w:rsid w:val="00626E37"/>
    <w:rsid w:val="00627908"/>
    <w:rsid w:val="00627EC5"/>
    <w:rsid w:val="00630F82"/>
    <w:rsid w:val="00631052"/>
    <w:rsid w:val="006312BB"/>
    <w:rsid w:val="00631A68"/>
    <w:rsid w:val="00631D46"/>
    <w:rsid w:val="0063207D"/>
    <w:rsid w:val="00632187"/>
    <w:rsid w:val="0063245B"/>
    <w:rsid w:val="0063271B"/>
    <w:rsid w:val="00632960"/>
    <w:rsid w:val="00632A84"/>
    <w:rsid w:val="00633028"/>
    <w:rsid w:val="00633DE9"/>
    <w:rsid w:val="00634277"/>
    <w:rsid w:val="006342B2"/>
    <w:rsid w:val="00634B57"/>
    <w:rsid w:val="00634D3B"/>
    <w:rsid w:val="006354D6"/>
    <w:rsid w:val="0063554A"/>
    <w:rsid w:val="00635B95"/>
    <w:rsid w:val="00636323"/>
    <w:rsid w:val="00636586"/>
    <w:rsid w:val="00636DAC"/>
    <w:rsid w:val="006374B2"/>
    <w:rsid w:val="006375EB"/>
    <w:rsid w:val="00637998"/>
    <w:rsid w:val="00637C15"/>
    <w:rsid w:val="00637CCB"/>
    <w:rsid w:val="00637D28"/>
    <w:rsid w:val="006400E2"/>
    <w:rsid w:val="0064013E"/>
    <w:rsid w:val="00640E48"/>
    <w:rsid w:val="0064178A"/>
    <w:rsid w:val="00641872"/>
    <w:rsid w:val="006418C7"/>
    <w:rsid w:val="00641C3C"/>
    <w:rsid w:val="00641E3C"/>
    <w:rsid w:val="006422BA"/>
    <w:rsid w:val="00642DFE"/>
    <w:rsid w:val="0064421C"/>
    <w:rsid w:val="0064467B"/>
    <w:rsid w:val="00644BBA"/>
    <w:rsid w:val="00645598"/>
    <w:rsid w:val="00645E57"/>
    <w:rsid w:val="00646044"/>
    <w:rsid w:val="006461AC"/>
    <w:rsid w:val="006465F9"/>
    <w:rsid w:val="006508CC"/>
    <w:rsid w:val="00650EE2"/>
    <w:rsid w:val="006513AF"/>
    <w:rsid w:val="00651DE7"/>
    <w:rsid w:val="00652275"/>
    <w:rsid w:val="0065315F"/>
    <w:rsid w:val="00653960"/>
    <w:rsid w:val="006550F5"/>
    <w:rsid w:val="006552D0"/>
    <w:rsid w:val="006556B0"/>
    <w:rsid w:val="006559B4"/>
    <w:rsid w:val="0065679B"/>
    <w:rsid w:val="00656EFA"/>
    <w:rsid w:val="00656F4E"/>
    <w:rsid w:val="0065707C"/>
    <w:rsid w:val="006570BC"/>
    <w:rsid w:val="0065712D"/>
    <w:rsid w:val="006608AF"/>
    <w:rsid w:val="006610A0"/>
    <w:rsid w:val="00662F55"/>
    <w:rsid w:val="006638A7"/>
    <w:rsid w:val="0066466D"/>
    <w:rsid w:val="00664E88"/>
    <w:rsid w:val="0066599C"/>
    <w:rsid w:val="006662FF"/>
    <w:rsid w:val="0066694C"/>
    <w:rsid w:val="00666E58"/>
    <w:rsid w:val="00667CE0"/>
    <w:rsid w:val="00667EFA"/>
    <w:rsid w:val="00670507"/>
    <w:rsid w:val="0067053E"/>
    <w:rsid w:val="00670FB5"/>
    <w:rsid w:val="00671430"/>
    <w:rsid w:val="006718A3"/>
    <w:rsid w:val="00671C35"/>
    <w:rsid w:val="00671E96"/>
    <w:rsid w:val="006727FB"/>
    <w:rsid w:val="00673127"/>
    <w:rsid w:val="006739BF"/>
    <w:rsid w:val="00673E47"/>
    <w:rsid w:val="00674162"/>
    <w:rsid w:val="006741E3"/>
    <w:rsid w:val="0067423D"/>
    <w:rsid w:val="006746E4"/>
    <w:rsid w:val="006748F3"/>
    <w:rsid w:val="006750A5"/>
    <w:rsid w:val="0067533F"/>
    <w:rsid w:val="006757DD"/>
    <w:rsid w:val="00675A60"/>
    <w:rsid w:val="00675B4C"/>
    <w:rsid w:val="00676CA6"/>
    <w:rsid w:val="00676E7C"/>
    <w:rsid w:val="006776C7"/>
    <w:rsid w:val="006777D8"/>
    <w:rsid w:val="00677AAC"/>
    <w:rsid w:val="00680128"/>
    <w:rsid w:val="00680EEF"/>
    <w:rsid w:val="00680F76"/>
    <w:rsid w:val="00681625"/>
    <w:rsid w:val="00681864"/>
    <w:rsid w:val="0068227E"/>
    <w:rsid w:val="00682B76"/>
    <w:rsid w:val="006830D3"/>
    <w:rsid w:val="00683871"/>
    <w:rsid w:val="00683B69"/>
    <w:rsid w:val="00683D7B"/>
    <w:rsid w:val="00683DE9"/>
    <w:rsid w:val="00684000"/>
    <w:rsid w:val="006840D1"/>
    <w:rsid w:val="00684BF6"/>
    <w:rsid w:val="00684F5F"/>
    <w:rsid w:val="00685320"/>
    <w:rsid w:val="00685CC4"/>
    <w:rsid w:val="00685DED"/>
    <w:rsid w:val="00685FFE"/>
    <w:rsid w:val="0068664B"/>
    <w:rsid w:val="00686742"/>
    <w:rsid w:val="00686BC1"/>
    <w:rsid w:val="006900C3"/>
    <w:rsid w:val="006906B3"/>
    <w:rsid w:val="00690CA0"/>
    <w:rsid w:val="00691349"/>
    <w:rsid w:val="006921D8"/>
    <w:rsid w:val="006922EE"/>
    <w:rsid w:val="00692685"/>
    <w:rsid w:val="0069289E"/>
    <w:rsid w:val="006930D0"/>
    <w:rsid w:val="00693C61"/>
    <w:rsid w:val="00693C71"/>
    <w:rsid w:val="006940DE"/>
    <w:rsid w:val="00694446"/>
    <w:rsid w:val="006954BB"/>
    <w:rsid w:val="00696BB2"/>
    <w:rsid w:val="00696E66"/>
    <w:rsid w:val="006975C1"/>
    <w:rsid w:val="006976DB"/>
    <w:rsid w:val="006979FC"/>
    <w:rsid w:val="00697CCF"/>
    <w:rsid w:val="00697FF4"/>
    <w:rsid w:val="006A0654"/>
    <w:rsid w:val="006A0DA7"/>
    <w:rsid w:val="006A1457"/>
    <w:rsid w:val="006A1AA0"/>
    <w:rsid w:val="006A1E85"/>
    <w:rsid w:val="006A1FE4"/>
    <w:rsid w:val="006A2271"/>
    <w:rsid w:val="006A26B6"/>
    <w:rsid w:val="006A2BE8"/>
    <w:rsid w:val="006A3114"/>
    <w:rsid w:val="006A34A6"/>
    <w:rsid w:val="006A3B08"/>
    <w:rsid w:val="006A3CC4"/>
    <w:rsid w:val="006A4946"/>
    <w:rsid w:val="006A4998"/>
    <w:rsid w:val="006A4BD7"/>
    <w:rsid w:val="006A5AB4"/>
    <w:rsid w:val="006A5B26"/>
    <w:rsid w:val="006A5E3D"/>
    <w:rsid w:val="006A5EA9"/>
    <w:rsid w:val="006A5F11"/>
    <w:rsid w:val="006A6621"/>
    <w:rsid w:val="006A6BCB"/>
    <w:rsid w:val="006A6EE1"/>
    <w:rsid w:val="006A72DF"/>
    <w:rsid w:val="006A7647"/>
    <w:rsid w:val="006B032A"/>
    <w:rsid w:val="006B062E"/>
    <w:rsid w:val="006B09D4"/>
    <w:rsid w:val="006B1008"/>
    <w:rsid w:val="006B102F"/>
    <w:rsid w:val="006B1328"/>
    <w:rsid w:val="006B13A4"/>
    <w:rsid w:val="006B1653"/>
    <w:rsid w:val="006B1707"/>
    <w:rsid w:val="006B1F01"/>
    <w:rsid w:val="006B2134"/>
    <w:rsid w:val="006B2789"/>
    <w:rsid w:val="006B29D6"/>
    <w:rsid w:val="006B34C2"/>
    <w:rsid w:val="006B3D09"/>
    <w:rsid w:val="006B3FAC"/>
    <w:rsid w:val="006B4584"/>
    <w:rsid w:val="006B495F"/>
    <w:rsid w:val="006B5336"/>
    <w:rsid w:val="006B5904"/>
    <w:rsid w:val="006B5FC0"/>
    <w:rsid w:val="006B65F9"/>
    <w:rsid w:val="006B69C7"/>
    <w:rsid w:val="006B6B0A"/>
    <w:rsid w:val="006B6D61"/>
    <w:rsid w:val="006C0078"/>
    <w:rsid w:val="006C0268"/>
    <w:rsid w:val="006C0A3B"/>
    <w:rsid w:val="006C120A"/>
    <w:rsid w:val="006C1391"/>
    <w:rsid w:val="006C14FE"/>
    <w:rsid w:val="006C1F2C"/>
    <w:rsid w:val="006C2435"/>
    <w:rsid w:val="006C25A7"/>
    <w:rsid w:val="006C265B"/>
    <w:rsid w:val="006C3AA4"/>
    <w:rsid w:val="006C3E61"/>
    <w:rsid w:val="006C4206"/>
    <w:rsid w:val="006C47FB"/>
    <w:rsid w:val="006C58F0"/>
    <w:rsid w:val="006C5975"/>
    <w:rsid w:val="006C5C2A"/>
    <w:rsid w:val="006C62A8"/>
    <w:rsid w:val="006C65C5"/>
    <w:rsid w:val="006C6639"/>
    <w:rsid w:val="006C66F0"/>
    <w:rsid w:val="006C6EE9"/>
    <w:rsid w:val="006C70D4"/>
    <w:rsid w:val="006C73DC"/>
    <w:rsid w:val="006C7C11"/>
    <w:rsid w:val="006C7E51"/>
    <w:rsid w:val="006D0457"/>
    <w:rsid w:val="006D0DEC"/>
    <w:rsid w:val="006D0EE2"/>
    <w:rsid w:val="006D1D71"/>
    <w:rsid w:val="006D24F3"/>
    <w:rsid w:val="006D4010"/>
    <w:rsid w:val="006D4902"/>
    <w:rsid w:val="006D4F15"/>
    <w:rsid w:val="006D5656"/>
    <w:rsid w:val="006D5DE0"/>
    <w:rsid w:val="006D5FBE"/>
    <w:rsid w:val="006D63EB"/>
    <w:rsid w:val="006D653A"/>
    <w:rsid w:val="006D6AA0"/>
    <w:rsid w:val="006D6AD8"/>
    <w:rsid w:val="006D6B39"/>
    <w:rsid w:val="006D6BC5"/>
    <w:rsid w:val="006D6BF4"/>
    <w:rsid w:val="006D7565"/>
    <w:rsid w:val="006E0025"/>
    <w:rsid w:val="006E044A"/>
    <w:rsid w:val="006E0698"/>
    <w:rsid w:val="006E0756"/>
    <w:rsid w:val="006E092A"/>
    <w:rsid w:val="006E0C32"/>
    <w:rsid w:val="006E0DCA"/>
    <w:rsid w:val="006E1571"/>
    <w:rsid w:val="006E169A"/>
    <w:rsid w:val="006E285B"/>
    <w:rsid w:val="006E28E6"/>
    <w:rsid w:val="006E33B3"/>
    <w:rsid w:val="006E372D"/>
    <w:rsid w:val="006E3E78"/>
    <w:rsid w:val="006E3F43"/>
    <w:rsid w:val="006E4560"/>
    <w:rsid w:val="006E4874"/>
    <w:rsid w:val="006E48C7"/>
    <w:rsid w:val="006E4C12"/>
    <w:rsid w:val="006E4C5C"/>
    <w:rsid w:val="006E4C76"/>
    <w:rsid w:val="006E4DF4"/>
    <w:rsid w:val="006E5161"/>
    <w:rsid w:val="006E55FA"/>
    <w:rsid w:val="006E5F04"/>
    <w:rsid w:val="006E7376"/>
    <w:rsid w:val="006E74B7"/>
    <w:rsid w:val="006F04BE"/>
    <w:rsid w:val="006F0C74"/>
    <w:rsid w:val="006F0DE5"/>
    <w:rsid w:val="006F179C"/>
    <w:rsid w:val="006F17A8"/>
    <w:rsid w:val="006F27A5"/>
    <w:rsid w:val="006F3185"/>
    <w:rsid w:val="006F3636"/>
    <w:rsid w:val="006F3777"/>
    <w:rsid w:val="006F4618"/>
    <w:rsid w:val="006F52A5"/>
    <w:rsid w:val="006F5B19"/>
    <w:rsid w:val="006F68B0"/>
    <w:rsid w:val="006F6E69"/>
    <w:rsid w:val="006F6F1A"/>
    <w:rsid w:val="006F78E3"/>
    <w:rsid w:val="007002EF"/>
    <w:rsid w:val="0070034C"/>
    <w:rsid w:val="00700B12"/>
    <w:rsid w:val="0070279F"/>
    <w:rsid w:val="00702832"/>
    <w:rsid w:val="00702C11"/>
    <w:rsid w:val="00702CFC"/>
    <w:rsid w:val="00703035"/>
    <w:rsid w:val="007037C6"/>
    <w:rsid w:val="00703C1B"/>
    <w:rsid w:val="007042A0"/>
    <w:rsid w:val="00704332"/>
    <w:rsid w:val="00704388"/>
    <w:rsid w:val="007048EC"/>
    <w:rsid w:val="00704D8F"/>
    <w:rsid w:val="00705561"/>
    <w:rsid w:val="0070575F"/>
    <w:rsid w:val="00705D12"/>
    <w:rsid w:val="00706107"/>
    <w:rsid w:val="0070639F"/>
    <w:rsid w:val="00706550"/>
    <w:rsid w:val="00706677"/>
    <w:rsid w:val="00706737"/>
    <w:rsid w:val="00706A05"/>
    <w:rsid w:val="00706BC4"/>
    <w:rsid w:val="00707114"/>
    <w:rsid w:val="007075D4"/>
    <w:rsid w:val="00707DE5"/>
    <w:rsid w:val="00707DFC"/>
    <w:rsid w:val="00707F0C"/>
    <w:rsid w:val="00710540"/>
    <w:rsid w:val="00710924"/>
    <w:rsid w:val="0071095D"/>
    <w:rsid w:val="00710E42"/>
    <w:rsid w:val="007111C8"/>
    <w:rsid w:val="0071163E"/>
    <w:rsid w:val="00711700"/>
    <w:rsid w:val="00711ACE"/>
    <w:rsid w:val="007124EA"/>
    <w:rsid w:val="00713117"/>
    <w:rsid w:val="00713A00"/>
    <w:rsid w:val="00713B50"/>
    <w:rsid w:val="00713D74"/>
    <w:rsid w:val="00714185"/>
    <w:rsid w:val="0071477A"/>
    <w:rsid w:val="00714AB9"/>
    <w:rsid w:val="00714C68"/>
    <w:rsid w:val="007151AD"/>
    <w:rsid w:val="0071526A"/>
    <w:rsid w:val="007156E9"/>
    <w:rsid w:val="007159D9"/>
    <w:rsid w:val="00715E59"/>
    <w:rsid w:val="00715FB0"/>
    <w:rsid w:val="00716B5A"/>
    <w:rsid w:val="00717A7B"/>
    <w:rsid w:val="00717BD6"/>
    <w:rsid w:val="0072083A"/>
    <w:rsid w:val="00720B73"/>
    <w:rsid w:val="00720EBF"/>
    <w:rsid w:val="00721CD6"/>
    <w:rsid w:val="007221D2"/>
    <w:rsid w:val="00723BF6"/>
    <w:rsid w:val="00724540"/>
    <w:rsid w:val="00725496"/>
    <w:rsid w:val="0072591E"/>
    <w:rsid w:val="00725CF6"/>
    <w:rsid w:val="0072601D"/>
    <w:rsid w:val="0072604B"/>
    <w:rsid w:val="00726241"/>
    <w:rsid w:val="007264BC"/>
    <w:rsid w:val="00726512"/>
    <w:rsid w:val="00726698"/>
    <w:rsid w:val="007266E0"/>
    <w:rsid w:val="007268C0"/>
    <w:rsid w:val="0072709C"/>
    <w:rsid w:val="0072736F"/>
    <w:rsid w:val="007278BB"/>
    <w:rsid w:val="007306B1"/>
    <w:rsid w:val="00730BDA"/>
    <w:rsid w:val="007321CD"/>
    <w:rsid w:val="0073239F"/>
    <w:rsid w:val="007329CC"/>
    <w:rsid w:val="00734450"/>
    <w:rsid w:val="007351BF"/>
    <w:rsid w:val="00735233"/>
    <w:rsid w:val="00735950"/>
    <w:rsid w:val="00735CE2"/>
    <w:rsid w:val="00736FF0"/>
    <w:rsid w:val="00737960"/>
    <w:rsid w:val="00737C4E"/>
    <w:rsid w:val="007401A5"/>
    <w:rsid w:val="0074052C"/>
    <w:rsid w:val="00740F87"/>
    <w:rsid w:val="00741054"/>
    <w:rsid w:val="0074127A"/>
    <w:rsid w:val="00741917"/>
    <w:rsid w:val="00741C3C"/>
    <w:rsid w:val="007426B1"/>
    <w:rsid w:val="00742991"/>
    <w:rsid w:val="00742E19"/>
    <w:rsid w:val="007432FE"/>
    <w:rsid w:val="00743638"/>
    <w:rsid w:val="007439CD"/>
    <w:rsid w:val="00743E02"/>
    <w:rsid w:val="00744121"/>
    <w:rsid w:val="00744345"/>
    <w:rsid w:val="00744C13"/>
    <w:rsid w:val="00744C1F"/>
    <w:rsid w:val="00745802"/>
    <w:rsid w:val="00745B02"/>
    <w:rsid w:val="00745CDB"/>
    <w:rsid w:val="00745F8D"/>
    <w:rsid w:val="0074638B"/>
    <w:rsid w:val="00746D10"/>
    <w:rsid w:val="00747040"/>
    <w:rsid w:val="00747065"/>
    <w:rsid w:val="00747200"/>
    <w:rsid w:val="007475FE"/>
    <w:rsid w:val="0075057B"/>
    <w:rsid w:val="007506A2"/>
    <w:rsid w:val="00750BDB"/>
    <w:rsid w:val="00751B2A"/>
    <w:rsid w:val="00751E42"/>
    <w:rsid w:val="00751ED8"/>
    <w:rsid w:val="007525F6"/>
    <w:rsid w:val="00752967"/>
    <w:rsid w:val="00753975"/>
    <w:rsid w:val="00753F32"/>
    <w:rsid w:val="00753FC6"/>
    <w:rsid w:val="0075404F"/>
    <w:rsid w:val="0075442B"/>
    <w:rsid w:val="007544B4"/>
    <w:rsid w:val="007547A6"/>
    <w:rsid w:val="00754B6B"/>
    <w:rsid w:val="00754E6B"/>
    <w:rsid w:val="00754F5F"/>
    <w:rsid w:val="007552B4"/>
    <w:rsid w:val="00755B55"/>
    <w:rsid w:val="00755FE8"/>
    <w:rsid w:val="00756258"/>
    <w:rsid w:val="00756310"/>
    <w:rsid w:val="007565CA"/>
    <w:rsid w:val="00756B66"/>
    <w:rsid w:val="00756BCB"/>
    <w:rsid w:val="007576F3"/>
    <w:rsid w:val="00757E86"/>
    <w:rsid w:val="00760327"/>
    <w:rsid w:val="00760AF8"/>
    <w:rsid w:val="00760EA4"/>
    <w:rsid w:val="00761C8D"/>
    <w:rsid w:val="007625B9"/>
    <w:rsid w:val="00762EA5"/>
    <w:rsid w:val="0076362B"/>
    <w:rsid w:val="00763CDD"/>
    <w:rsid w:val="00763E1C"/>
    <w:rsid w:val="00764AE9"/>
    <w:rsid w:val="007651D1"/>
    <w:rsid w:val="007656C3"/>
    <w:rsid w:val="00765C92"/>
    <w:rsid w:val="00766310"/>
    <w:rsid w:val="00766519"/>
    <w:rsid w:val="00766A2D"/>
    <w:rsid w:val="00766F6F"/>
    <w:rsid w:val="00767144"/>
    <w:rsid w:val="00767DA7"/>
    <w:rsid w:val="007703D3"/>
    <w:rsid w:val="007709E5"/>
    <w:rsid w:val="00770FC6"/>
    <w:rsid w:val="0077116A"/>
    <w:rsid w:val="0077187C"/>
    <w:rsid w:val="00771897"/>
    <w:rsid w:val="00771DA7"/>
    <w:rsid w:val="0077238D"/>
    <w:rsid w:val="00772527"/>
    <w:rsid w:val="00772E8D"/>
    <w:rsid w:val="007739E8"/>
    <w:rsid w:val="00773CD2"/>
    <w:rsid w:val="00773DC3"/>
    <w:rsid w:val="00773ECC"/>
    <w:rsid w:val="00774127"/>
    <w:rsid w:val="00774383"/>
    <w:rsid w:val="00774EB5"/>
    <w:rsid w:val="00774F81"/>
    <w:rsid w:val="00775301"/>
    <w:rsid w:val="0077603D"/>
    <w:rsid w:val="00776582"/>
    <w:rsid w:val="00776A02"/>
    <w:rsid w:val="00776B59"/>
    <w:rsid w:val="00776B90"/>
    <w:rsid w:val="00776ED5"/>
    <w:rsid w:val="00776F50"/>
    <w:rsid w:val="00777393"/>
    <w:rsid w:val="0077749A"/>
    <w:rsid w:val="0078068E"/>
    <w:rsid w:val="00780EA8"/>
    <w:rsid w:val="00781570"/>
    <w:rsid w:val="00781EAE"/>
    <w:rsid w:val="007829B3"/>
    <w:rsid w:val="00782A0B"/>
    <w:rsid w:val="00782CCD"/>
    <w:rsid w:val="00783184"/>
    <w:rsid w:val="007835B9"/>
    <w:rsid w:val="00783722"/>
    <w:rsid w:val="007843AE"/>
    <w:rsid w:val="0078455B"/>
    <w:rsid w:val="007847B4"/>
    <w:rsid w:val="00785672"/>
    <w:rsid w:val="00785FDA"/>
    <w:rsid w:val="00786458"/>
    <w:rsid w:val="0078676B"/>
    <w:rsid w:val="00786BD8"/>
    <w:rsid w:val="0078709D"/>
    <w:rsid w:val="007872D9"/>
    <w:rsid w:val="00787973"/>
    <w:rsid w:val="00787BEF"/>
    <w:rsid w:val="007900ED"/>
    <w:rsid w:val="00790B52"/>
    <w:rsid w:val="00790B69"/>
    <w:rsid w:val="00790BB2"/>
    <w:rsid w:val="00790BDC"/>
    <w:rsid w:val="00790D20"/>
    <w:rsid w:val="00790FA4"/>
    <w:rsid w:val="00791071"/>
    <w:rsid w:val="007913F9"/>
    <w:rsid w:val="007937F6"/>
    <w:rsid w:val="00793BD9"/>
    <w:rsid w:val="00794570"/>
    <w:rsid w:val="007966B9"/>
    <w:rsid w:val="00796759"/>
    <w:rsid w:val="00796985"/>
    <w:rsid w:val="007A0BDB"/>
    <w:rsid w:val="007A17E5"/>
    <w:rsid w:val="007A1AF9"/>
    <w:rsid w:val="007A20C8"/>
    <w:rsid w:val="007A2AF3"/>
    <w:rsid w:val="007A2B6B"/>
    <w:rsid w:val="007A323F"/>
    <w:rsid w:val="007A355E"/>
    <w:rsid w:val="007A38B1"/>
    <w:rsid w:val="007A38EC"/>
    <w:rsid w:val="007A3B7B"/>
    <w:rsid w:val="007A3F5B"/>
    <w:rsid w:val="007A44B8"/>
    <w:rsid w:val="007A4656"/>
    <w:rsid w:val="007A5098"/>
    <w:rsid w:val="007A51F2"/>
    <w:rsid w:val="007A5276"/>
    <w:rsid w:val="007A7AC9"/>
    <w:rsid w:val="007A7E4C"/>
    <w:rsid w:val="007B015D"/>
    <w:rsid w:val="007B18E3"/>
    <w:rsid w:val="007B1F79"/>
    <w:rsid w:val="007B2BDD"/>
    <w:rsid w:val="007B2C36"/>
    <w:rsid w:val="007B2EC8"/>
    <w:rsid w:val="007B2FC5"/>
    <w:rsid w:val="007B3A9D"/>
    <w:rsid w:val="007B3AB9"/>
    <w:rsid w:val="007B3FAD"/>
    <w:rsid w:val="007B41E5"/>
    <w:rsid w:val="007B4295"/>
    <w:rsid w:val="007B4567"/>
    <w:rsid w:val="007B4573"/>
    <w:rsid w:val="007B5DB6"/>
    <w:rsid w:val="007B710C"/>
    <w:rsid w:val="007B7E3F"/>
    <w:rsid w:val="007B7EE0"/>
    <w:rsid w:val="007C0447"/>
    <w:rsid w:val="007C0B43"/>
    <w:rsid w:val="007C0F52"/>
    <w:rsid w:val="007C1A2F"/>
    <w:rsid w:val="007C1EE9"/>
    <w:rsid w:val="007C223B"/>
    <w:rsid w:val="007C2A78"/>
    <w:rsid w:val="007C2F82"/>
    <w:rsid w:val="007C3111"/>
    <w:rsid w:val="007C3162"/>
    <w:rsid w:val="007C33F3"/>
    <w:rsid w:val="007C4496"/>
    <w:rsid w:val="007C4829"/>
    <w:rsid w:val="007C49EE"/>
    <w:rsid w:val="007C4B3D"/>
    <w:rsid w:val="007C4C02"/>
    <w:rsid w:val="007C6078"/>
    <w:rsid w:val="007C64C5"/>
    <w:rsid w:val="007C64DA"/>
    <w:rsid w:val="007C7215"/>
    <w:rsid w:val="007C72D6"/>
    <w:rsid w:val="007C7494"/>
    <w:rsid w:val="007C7757"/>
    <w:rsid w:val="007C7822"/>
    <w:rsid w:val="007C7D32"/>
    <w:rsid w:val="007C7E5F"/>
    <w:rsid w:val="007C7F37"/>
    <w:rsid w:val="007D06F6"/>
    <w:rsid w:val="007D085C"/>
    <w:rsid w:val="007D1B49"/>
    <w:rsid w:val="007D1BE1"/>
    <w:rsid w:val="007D2039"/>
    <w:rsid w:val="007D2483"/>
    <w:rsid w:val="007D298C"/>
    <w:rsid w:val="007D3371"/>
    <w:rsid w:val="007D41ED"/>
    <w:rsid w:val="007D459C"/>
    <w:rsid w:val="007D46B8"/>
    <w:rsid w:val="007D4A9F"/>
    <w:rsid w:val="007D5F61"/>
    <w:rsid w:val="007D6025"/>
    <w:rsid w:val="007D666A"/>
    <w:rsid w:val="007D66F5"/>
    <w:rsid w:val="007D6E44"/>
    <w:rsid w:val="007D6F35"/>
    <w:rsid w:val="007D7AD0"/>
    <w:rsid w:val="007D7EB4"/>
    <w:rsid w:val="007E002D"/>
    <w:rsid w:val="007E059F"/>
    <w:rsid w:val="007E0CB3"/>
    <w:rsid w:val="007E1DAF"/>
    <w:rsid w:val="007E27AA"/>
    <w:rsid w:val="007E2AA2"/>
    <w:rsid w:val="007E2CB0"/>
    <w:rsid w:val="007E3081"/>
    <w:rsid w:val="007E30F3"/>
    <w:rsid w:val="007E3248"/>
    <w:rsid w:val="007E344B"/>
    <w:rsid w:val="007E3A22"/>
    <w:rsid w:val="007E3AD9"/>
    <w:rsid w:val="007E3B33"/>
    <w:rsid w:val="007E3ED3"/>
    <w:rsid w:val="007E4E29"/>
    <w:rsid w:val="007E4F7D"/>
    <w:rsid w:val="007E55D8"/>
    <w:rsid w:val="007E5965"/>
    <w:rsid w:val="007E6644"/>
    <w:rsid w:val="007E69E7"/>
    <w:rsid w:val="007E75E8"/>
    <w:rsid w:val="007F0F5B"/>
    <w:rsid w:val="007F1AD7"/>
    <w:rsid w:val="007F1BE7"/>
    <w:rsid w:val="007F1D41"/>
    <w:rsid w:val="007F1F8A"/>
    <w:rsid w:val="007F2088"/>
    <w:rsid w:val="007F20BE"/>
    <w:rsid w:val="007F268C"/>
    <w:rsid w:val="007F3027"/>
    <w:rsid w:val="007F345F"/>
    <w:rsid w:val="007F35B9"/>
    <w:rsid w:val="007F35C5"/>
    <w:rsid w:val="007F36D3"/>
    <w:rsid w:val="007F38B0"/>
    <w:rsid w:val="007F39E5"/>
    <w:rsid w:val="007F3BD6"/>
    <w:rsid w:val="007F3C14"/>
    <w:rsid w:val="007F3C52"/>
    <w:rsid w:val="007F3CBD"/>
    <w:rsid w:val="007F40AC"/>
    <w:rsid w:val="007F4961"/>
    <w:rsid w:val="007F4C0F"/>
    <w:rsid w:val="007F4F0E"/>
    <w:rsid w:val="007F51AF"/>
    <w:rsid w:val="007F58EA"/>
    <w:rsid w:val="007F66C1"/>
    <w:rsid w:val="007F77E2"/>
    <w:rsid w:val="007F7C69"/>
    <w:rsid w:val="007F7D8E"/>
    <w:rsid w:val="008005BF"/>
    <w:rsid w:val="008009FF"/>
    <w:rsid w:val="00800B53"/>
    <w:rsid w:val="008012A3"/>
    <w:rsid w:val="00801401"/>
    <w:rsid w:val="0080152A"/>
    <w:rsid w:val="008015D3"/>
    <w:rsid w:val="008016B0"/>
    <w:rsid w:val="00801966"/>
    <w:rsid w:val="0080200C"/>
    <w:rsid w:val="00802953"/>
    <w:rsid w:val="0080361C"/>
    <w:rsid w:val="00803A69"/>
    <w:rsid w:val="008043A6"/>
    <w:rsid w:val="0080447C"/>
    <w:rsid w:val="00804832"/>
    <w:rsid w:val="008058CF"/>
    <w:rsid w:val="00805C6D"/>
    <w:rsid w:val="00805CF4"/>
    <w:rsid w:val="00807179"/>
    <w:rsid w:val="00807230"/>
    <w:rsid w:val="00807563"/>
    <w:rsid w:val="00807984"/>
    <w:rsid w:val="00807F9C"/>
    <w:rsid w:val="008100BD"/>
    <w:rsid w:val="0081105A"/>
    <w:rsid w:val="00811379"/>
    <w:rsid w:val="00811BF3"/>
    <w:rsid w:val="00812035"/>
    <w:rsid w:val="00812455"/>
    <w:rsid w:val="00812B00"/>
    <w:rsid w:val="00813212"/>
    <w:rsid w:val="008139B4"/>
    <w:rsid w:val="00813D1C"/>
    <w:rsid w:val="0081456F"/>
    <w:rsid w:val="00814BEA"/>
    <w:rsid w:val="00815C1C"/>
    <w:rsid w:val="00815FA2"/>
    <w:rsid w:val="00816517"/>
    <w:rsid w:val="00816FED"/>
    <w:rsid w:val="00817791"/>
    <w:rsid w:val="00817C72"/>
    <w:rsid w:val="00817D06"/>
    <w:rsid w:val="00817DAD"/>
    <w:rsid w:val="00820707"/>
    <w:rsid w:val="00820CDB"/>
    <w:rsid w:val="00820EA3"/>
    <w:rsid w:val="0082137E"/>
    <w:rsid w:val="00821C31"/>
    <w:rsid w:val="008222FF"/>
    <w:rsid w:val="00822940"/>
    <w:rsid w:val="00822944"/>
    <w:rsid w:val="00822C60"/>
    <w:rsid w:val="00823A8A"/>
    <w:rsid w:val="0082499D"/>
    <w:rsid w:val="008256D9"/>
    <w:rsid w:val="00825E61"/>
    <w:rsid w:val="008265D3"/>
    <w:rsid w:val="00826C3B"/>
    <w:rsid w:val="00827C7A"/>
    <w:rsid w:val="00827F5C"/>
    <w:rsid w:val="008304F1"/>
    <w:rsid w:val="00830682"/>
    <w:rsid w:val="008309CB"/>
    <w:rsid w:val="00830CC3"/>
    <w:rsid w:val="00830D8A"/>
    <w:rsid w:val="00830E35"/>
    <w:rsid w:val="00831409"/>
    <w:rsid w:val="008319EE"/>
    <w:rsid w:val="00831CFE"/>
    <w:rsid w:val="00831FB6"/>
    <w:rsid w:val="008327DB"/>
    <w:rsid w:val="00832DBC"/>
    <w:rsid w:val="00833023"/>
    <w:rsid w:val="0083324E"/>
    <w:rsid w:val="00833526"/>
    <w:rsid w:val="00833E59"/>
    <w:rsid w:val="008347EF"/>
    <w:rsid w:val="00834896"/>
    <w:rsid w:val="008349F8"/>
    <w:rsid w:val="00834C95"/>
    <w:rsid w:val="00834F65"/>
    <w:rsid w:val="00834F9A"/>
    <w:rsid w:val="008353D3"/>
    <w:rsid w:val="0083542A"/>
    <w:rsid w:val="00835667"/>
    <w:rsid w:val="00836572"/>
    <w:rsid w:val="00836AE8"/>
    <w:rsid w:val="0083750C"/>
    <w:rsid w:val="00837C26"/>
    <w:rsid w:val="00837F63"/>
    <w:rsid w:val="00840788"/>
    <w:rsid w:val="0084088A"/>
    <w:rsid w:val="00840AD6"/>
    <w:rsid w:val="00841397"/>
    <w:rsid w:val="00842071"/>
    <w:rsid w:val="00842195"/>
    <w:rsid w:val="00842292"/>
    <w:rsid w:val="008423C9"/>
    <w:rsid w:val="00843C3D"/>
    <w:rsid w:val="00843ED4"/>
    <w:rsid w:val="008441C3"/>
    <w:rsid w:val="0084480B"/>
    <w:rsid w:val="0084524F"/>
    <w:rsid w:val="008457BA"/>
    <w:rsid w:val="00845A7E"/>
    <w:rsid w:val="00845B9D"/>
    <w:rsid w:val="00845E07"/>
    <w:rsid w:val="00846653"/>
    <w:rsid w:val="00846755"/>
    <w:rsid w:val="00846BBD"/>
    <w:rsid w:val="00850454"/>
    <w:rsid w:val="0085088C"/>
    <w:rsid w:val="00850BA5"/>
    <w:rsid w:val="008512A0"/>
    <w:rsid w:val="00851A48"/>
    <w:rsid w:val="00851BCF"/>
    <w:rsid w:val="00851D89"/>
    <w:rsid w:val="0085278E"/>
    <w:rsid w:val="00852D59"/>
    <w:rsid w:val="00852DE4"/>
    <w:rsid w:val="00852ED7"/>
    <w:rsid w:val="008531BB"/>
    <w:rsid w:val="00853363"/>
    <w:rsid w:val="008544B9"/>
    <w:rsid w:val="00854CED"/>
    <w:rsid w:val="00854D68"/>
    <w:rsid w:val="00854EC7"/>
    <w:rsid w:val="00855075"/>
    <w:rsid w:val="00855D6C"/>
    <w:rsid w:val="00856AC2"/>
    <w:rsid w:val="00856F8B"/>
    <w:rsid w:val="008572E7"/>
    <w:rsid w:val="008577A7"/>
    <w:rsid w:val="00857BC3"/>
    <w:rsid w:val="008602C9"/>
    <w:rsid w:val="0086056E"/>
    <w:rsid w:val="00860735"/>
    <w:rsid w:val="00860893"/>
    <w:rsid w:val="00860B84"/>
    <w:rsid w:val="00861318"/>
    <w:rsid w:val="0086224F"/>
    <w:rsid w:val="00862C63"/>
    <w:rsid w:val="00862D54"/>
    <w:rsid w:val="008640A3"/>
    <w:rsid w:val="008643FE"/>
    <w:rsid w:val="00864C44"/>
    <w:rsid w:val="00864C62"/>
    <w:rsid w:val="0086527C"/>
    <w:rsid w:val="00865972"/>
    <w:rsid w:val="008664DB"/>
    <w:rsid w:val="00866E78"/>
    <w:rsid w:val="0086797D"/>
    <w:rsid w:val="00867A11"/>
    <w:rsid w:val="008703CF"/>
    <w:rsid w:val="00870D3A"/>
    <w:rsid w:val="00870FEC"/>
    <w:rsid w:val="00871650"/>
    <w:rsid w:val="0087234D"/>
    <w:rsid w:val="008734CA"/>
    <w:rsid w:val="00874B71"/>
    <w:rsid w:val="00874CAD"/>
    <w:rsid w:val="00875413"/>
    <w:rsid w:val="00875668"/>
    <w:rsid w:val="00876122"/>
    <w:rsid w:val="008773BB"/>
    <w:rsid w:val="00880237"/>
    <w:rsid w:val="00880464"/>
    <w:rsid w:val="00880480"/>
    <w:rsid w:val="00880743"/>
    <w:rsid w:val="008812FC"/>
    <w:rsid w:val="008817EA"/>
    <w:rsid w:val="00881F88"/>
    <w:rsid w:val="00882378"/>
    <w:rsid w:val="0088242B"/>
    <w:rsid w:val="0088253E"/>
    <w:rsid w:val="0088317D"/>
    <w:rsid w:val="0088403F"/>
    <w:rsid w:val="00885BEB"/>
    <w:rsid w:val="00886061"/>
    <w:rsid w:val="00886518"/>
    <w:rsid w:val="00886B4B"/>
    <w:rsid w:val="00886CC1"/>
    <w:rsid w:val="00886E77"/>
    <w:rsid w:val="00887EDB"/>
    <w:rsid w:val="00887F98"/>
    <w:rsid w:val="00890705"/>
    <w:rsid w:val="0089091D"/>
    <w:rsid w:val="00890C20"/>
    <w:rsid w:val="00891249"/>
    <w:rsid w:val="00891357"/>
    <w:rsid w:val="008915A1"/>
    <w:rsid w:val="00892387"/>
    <w:rsid w:val="00892579"/>
    <w:rsid w:val="00893062"/>
    <w:rsid w:val="008939B8"/>
    <w:rsid w:val="0089444A"/>
    <w:rsid w:val="00894636"/>
    <w:rsid w:val="00895186"/>
    <w:rsid w:val="008962C8"/>
    <w:rsid w:val="008965AD"/>
    <w:rsid w:val="00896DBF"/>
    <w:rsid w:val="00896E33"/>
    <w:rsid w:val="008974BE"/>
    <w:rsid w:val="00897B2E"/>
    <w:rsid w:val="008A0336"/>
    <w:rsid w:val="008A0BB8"/>
    <w:rsid w:val="008A0CDB"/>
    <w:rsid w:val="008A0FDA"/>
    <w:rsid w:val="008A1457"/>
    <w:rsid w:val="008A1806"/>
    <w:rsid w:val="008A184B"/>
    <w:rsid w:val="008A1930"/>
    <w:rsid w:val="008A2795"/>
    <w:rsid w:val="008A2D17"/>
    <w:rsid w:val="008A2ECB"/>
    <w:rsid w:val="008A306E"/>
    <w:rsid w:val="008A352F"/>
    <w:rsid w:val="008A391B"/>
    <w:rsid w:val="008A448A"/>
    <w:rsid w:val="008A562B"/>
    <w:rsid w:val="008A5D5C"/>
    <w:rsid w:val="008A6396"/>
    <w:rsid w:val="008A645D"/>
    <w:rsid w:val="008A6BFC"/>
    <w:rsid w:val="008B01DF"/>
    <w:rsid w:val="008B02F2"/>
    <w:rsid w:val="008B0511"/>
    <w:rsid w:val="008B070D"/>
    <w:rsid w:val="008B07BE"/>
    <w:rsid w:val="008B0BE9"/>
    <w:rsid w:val="008B0CDB"/>
    <w:rsid w:val="008B169B"/>
    <w:rsid w:val="008B1CF6"/>
    <w:rsid w:val="008B1D42"/>
    <w:rsid w:val="008B20D1"/>
    <w:rsid w:val="008B23CF"/>
    <w:rsid w:val="008B2C48"/>
    <w:rsid w:val="008B2F0C"/>
    <w:rsid w:val="008B30B9"/>
    <w:rsid w:val="008B31FD"/>
    <w:rsid w:val="008B363F"/>
    <w:rsid w:val="008B3666"/>
    <w:rsid w:val="008B3752"/>
    <w:rsid w:val="008B3AEC"/>
    <w:rsid w:val="008B3E7A"/>
    <w:rsid w:val="008B4113"/>
    <w:rsid w:val="008B415D"/>
    <w:rsid w:val="008B418D"/>
    <w:rsid w:val="008B4507"/>
    <w:rsid w:val="008B5FF7"/>
    <w:rsid w:val="008B6163"/>
    <w:rsid w:val="008B6893"/>
    <w:rsid w:val="008B6B2D"/>
    <w:rsid w:val="008B7A30"/>
    <w:rsid w:val="008B7B66"/>
    <w:rsid w:val="008B7EFE"/>
    <w:rsid w:val="008B7F25"/>
    <w:rsid w:val="008B7FBB"/>
    <w:rsid w:val="008C00FC"/>
    <w:rsid w:val="008C04A5"/>
    <w:rsid w:val="008C0898"/>
    <w:rsid w:val="008C096A"/>
    <w:rsid w:val="008C171B"/>
    <w:rsid w:val="008C3BC2"/>
    <w:rsid w:val="008C410A"/>
    <w:rsid w:val="008C462E"/>
    <w:rsid w:val="008C463C"/>
    <w:rsid w:val="008C49CF"/>
    <w:rsid w:val="008C4E7E"/>
    <w:rsid w:val="008C512D"/>
    <w:rsid w:val="008C519E"/>
    <w:rsid w:val="008C5238"/>
    <w:rsid w:val="008C6ADA"/>
    <w:rsid w:val="008C6BA7"/>
    <w:rsid w:val="008C6C20"/>
    <w:rsid w:val="008C713D"/>
    <w:rsid w:val="008C77A6"/>
    <w:rsid w:val="008C7B7F"/>
    <w:rsid w:val="008D002D"/>
    <w:rsid w:val="008D0346"/>
    <w:rsid w:val="008D05FF"/>
    <w:rsid w:val="008D09BD"/>
    <w:rsid w:val="008D1534"/>
    <w:rsid w:val="008D2283"/>
    <w:rsid w:val="008D265C"/>
    <w:rsid w:val="008D2ACC"/>
    <w:rsid w:val="008D2FE0"/>
    <w:rsid w:val="008D304C"/>
    <w:rsid w:val="008D39EC"/>
    <w:rsid w:val="008D44E1"/>
    <w:rsid w:val="008D6084"/>
    <w:rsid w:val="008D6398"/>
    <w:rsid w:val="008D64C4"/>
    <w:rsid w:val="008D70C7"/>
    <w:rsid w:val="008D797B"/>
    <w:rsid w:val="008E0639"/>
    <w:rsid w:val="008E07EA"/>
    <w:rsid w:val="008E0A91"/>
    <w:rsid w:val="008E16A8"/>
    <w:rsid w:val="008E1968"/>
    <w:rsid w:val="008E2189"/>
    <w:rsid w:val="008E2375"/>
    <w:rsid w:val="008E2A5C"/>
    <w:rsid w:val="008E2C1D"/>
    <w:rsid w:val="008E2FCE"/>
    <w:rsid w:val="008E3614"/>
    <w:rsid w:val="008E40E1"/>
    <w:rsid w:val="008E42F9"/>
    <w:rsid w:val="008E4C68"/>
    <w:rsid w:val="008E4F67"/>
    <w:rsid w:val="008E574D"/>
    <w:rsid w:val="008E5CB8"/>
    <w:rsid w:val="008E65AE"/>
    <w:rsid w:val="008E6824"/>
    <w:rsid w:val="008E705F"/>
    <w:rsid w:val="008E7CC7"/>
    <w:rsid w:val="008E7D7D"/>
    <w:rsid w:val="008F0326"/>
    <w:rsid w:val="008F10FF"/>
    <w:rsid w:val="008F1407"/>
    <w:rsid w:val="008F147C"/>
    <w:rsid w:val="008F1C8D"/>
    <w:rsid w:val="008F241A"/>
    <w:rsid w:val="008F2458"/>
    <w:rsid w:val="008F2674"/>
    <w:rsid w:val="008F3573"/>
    <w:rsid w:val="008F3AD0"/>
    <w:rsid w:val="008F3C3B"/>
    <w:rsid w:val="008F3F2C"/>
    <w:rsid w:val="008F4243"/>
    <w:rsid w:val="008F4A0D"/>
    <w:rsid w:val="008F4F89"/>
    <w:rsid w:val="008F5392"/>
    <w:rsid w:val="008F5A1E"/>
    <w:rsid w:val="008F5C2D"/>
    <w:rsid w:val="008F621D"/>
    <w:rsid w:val="008F6A9E"/>
    <w:rsid w:val="008F6D79"/>
    <w:rsid w:val="008F73FB"/>
    <w:rsid w:val="008F79C9"/>
    <w:rsid w:val="00900B6F"/>
    <w:rsid w:val="0090121A"/>
    <w:rsid w:val="009017D2"/>
    <w:rsid w:val="0090195F"/>
    <w:rsid w:val="00901B10"/>
    <w:rsid w:val="00901F1E"/>
    <w:rsid w:val="0090231E"/>
    <w:rsid w:val="00902D60"/>
    <w:rsid w:val="00902E86"/>
    <w:rsid w:val="009034C0"/>
    <w:rsid w:val="009034E2"/>
    <w:rsid w:val="009034F5"/>
    <w:rsid w:val="00903760"/>
    <w:rsid w:val="00903B10"/>
    <w:rsid w:val="00903BC9"/>
    <w:rsid w:val="00903CFD"/>
    <w:rsid w:val="00904233"/>
    <w:rsid w:val="009043CA"/>
    <w:rsid w:val="00904DAE"/>
    <w:rsid w:val="0090504B"/>
    <w:rsid w:val="0090532D"/>
    <w:rsid w:val="00905447"/>
    <w:rsid w:val="00905D22"/>
    <w:rsid w:val="009069DA"/>
    <w:rsid w:val="00906AAA"/>
    <w:rsid w:val="00906E45"/>
    <w:rsid w:val="00907BB9"/>
    <w:rsid w:val="00910735"/>
    <w:rsid w:val="009111BE"/>
    <w:rsid w:val="00911221"/>
    <w:rsid w:val="009116F5"/>
    <w:rsid w:val="00911737"/>
    <w:rsid w:val="0091175B"/>
    <w:rsid w:val="00911A6F"/>
    <w:rsid w:val="00911EA0"/>
    <w:rsid w:val="00911EC7"/>
    <w:rsid w:val="00913529"/>
    <w:rsid w:val="00913FE4"/>
    <w:rsid w:val="00914621"/>
    <w:rsid w:val="009147B0"/>
    <w:rsid w:val="00914FFA"/>
    <w:rsid w:val="009152B6"/>
    <w:rsid w:val="0091539A"/>
    <w:rsid w:val="00915931"/>
    <w:rsid w:val="00916148"/>
    <w:rsid w:val="00916570"/>
    <w:rsid w:val="0091668A"/>
    <w:rsid w:val="009166CC"/>
    <w:rsid w:val="00916AC3"/>
    <w:rsid w:val="00917BBE"/>
    <w:rsid w:val="00917C3B"/>
    <w:rsid w:val="009200F8"/>
    <w:rsid w:val="00920616"/>
    <w:rsid w:val="009209A5"/>
    <w:rsid w:val="00920AA0"/>
    <w:rsid w:val="00920C36"/>
    <w:rsid w:val="00920D4E"/>
    <w:rsid w:val="00921412"/>
    <w:rsid w:val="00921B4F"/>
    <w:rsid w:val="00922BD9"/>
    <w:rsid w:val="00922C5F"/>
    <w:rsid w:val="0092317A"/>
    <w:rsid w:val="00923CFB"/>
    <w:rsid w:val="00923D38"/>
    <w:rsid w:val="009240AF"/>
    <w:rsid w:val="009247F2"/>
    <w:rsid w:val="00924C1D"/>
    <w:rsid w:val="00924C48"/>
    <w:rsid w:val="009251FA"/>
    <w:rsid w:val="0092526B"/>
    <w:rsid w:val="00925FEF"/>
    <w:rsid w:val="00926510"/>
    <w:rsid w:val="009272AD"/>
    <w:rsid w:val="0092785B"/>
    <w:rsid w:val="009302CB"/>
    <w:rsid w:val="0093045C"/>
    <w:rsid w:val="00930755"/>
    <w:rsid w:val="00931243"/>
    <w:rsid w:val="00931978"/>
    <w:rsid w:val="00931FA4"/>
    <w:rsid w:val="009326C0"/>
    <w:rsid w:val="00933793"/>
    <w:rsid w:val="00933926"/>
    <w:rsid w:val="00933CA3"/>
    <w:rsid w:val="00933F2A"/>
    <w:rsid w:val="00933F50"/>
    <w:rsid w:val="00933FA6"/>
    <w:rsid w:val="0093430B"/>
    <w:rsid w:val="00934331"/>
    <w:rsid w:val="009345BC"/>
    <w:rsid w:val="00934726"/>
    <w:rsid w:val="0093528A"/>
    <w:rsid w:val="009359C1"/>
    <w:rsid w:val="00935A58"/>
    <w:rsid w:val="0093626A"/>
    <w:rsid w:val="00936624"/>
    <w:rsid w:val="009378EA"/>
    <w:rsid w:val="00937CA3"/>
    <w:rsid w:val="00937E00"/>
    <w:rsid w:val="00937E4E"/>
    <w:rsid w:val="009408C5"/>
    <w:rsid w:val="0094092D"/>
    <w:rsid w:val="00940C31"/>
    <w:rsid w:val="009410CD"/>
    <w:rsid w:val="00941680"/>
    <w:rsid w:val="00941A69"/>
    <w:rsid w:val="00941ABA"/>
    <w:rsid w:val="00941F5B"/>
    <w:rsid w:val="00942765"/>
    <w:rsid w:val="00942875"/>
    <w:rsid w:val="00942BC2"/>
    <w:rsid w:val="00943109"/>
    <w:rsid w:val="0094360C"/>
    <w:rsid w:val="0094390C"/>
    <w:rsid w:val="00944D79"/>
    <w:rsid w:val="00945420"/>
    <w:rsid w:val="00945635"/>
    <w:rsid w:val="00945E0B"/>
    <w:rsid w:val="0094653D"/>
    <w:rsid w:val="00947D84"/>
    <w:rsid w:val="00947EE1"/>
    <w:rsid w:val="00950021"/>
    <w:rsid w:val="00950628"/>
    <w:rsid w:val="009508B0"/>
    <w:rsid w:val="00951567"/>
    <w:rsid w:val="00951900"/>
    <w:rsid w:val="00951E05"/>
    <w:rsid w:val="009526D9"/>
    <w:rsid w:val="009527D5"/>
    <w:rsid w:val="00953F60"/>
    <w:rsid w:val="00955079"/>
    <w:rsid w:val="00955A3B"/>
    <w:rsid w:val="00955ABC"/>
    <w:rsid w:val="00955DD0"/>
    <w:rsid w:val="009565BA"/>
    <w:rsid w:val="00956A20"/>
    <w:rsid w:val="00956C3E"/>
    <w:rsid w:val="00956C95"/>
    <w:rsid w:val="00957061"/>
    <w:rsid w:val="00957114"/>
    <w:rsid w:val="00957283"/>
    <w:rsid w:val="00960181"/>
    <w:rsid w:val="009603A8"/>
    <w:rsid w:val="0096162B"/>
    <w:rsid w:val="009622BD"/>
    <w:rsid w:val="009623ED"/>
    <w:rsid w:val="00963311"/>
    <w:rsid w:val="009634F5"/>
    <w:rsid w:val="00963727"/>
    <w:rsid w:val="00963856"/>
    <w:rsid w:val="0096399F"/>
    <w:rsid w:val="00963F25"/>
    <w:rsid w:val="00966FDB"/>
    <w:rsid w:val="0096704C"/>
    <w:rsid w:val="00967092"/>
    <w:rsid w:val="00967400"/>
    <w:rsid w:val="00967F3D"/>
    <w:rsid w:val="009701C8"/>
    <w:rsid w:val="009702D5"/>
    <w:rsid w:val="00970490"/>
    <w:rsid w:val="00970AE4"/>
    <w:rsid w:val="00971705"/>
    <w:rsid w:val="0097194D"/>
    <w:rsid w:val="00971E3B"/>
    <w:rsid w:val="00972216"/>
    <w:rsid w:val="00972745"/>
    <w:rsid w:val="00972B29"/>
    <w:rsid w:val="00972FD4"/>
    <w:rsid w:val="009730C1"/>
    <w:rsid w:val="009730E3"/>
    <w:rsid w:val="0097317C"/>
    <w:rsid w:val="00973476"/>
    <w:rsid w:val="009735EB"/>
    <w:rsid w:val="0097364B"/>
    <w:rsid w:val="009744E9"/>
    <w:rsid w:val="00974657"/>
    <w:rsid w:val="00974A4E"/>
    <w:rsid w:val="00975068"/>
    <w:rsid w:val="0097628C"/>
    <w:rsid w:val="009763F8"/>
    <w:rsid w:val="009801F2"/>
    <w:rsid w:val="0098051D"/>
    <w:rsid w:val="00980D14"/>
    <w:rsid w:val="00980E53"/>
    <w:rsid w:val="00980E67"/>
    <w:rsid w:val="009811BA"/>
    <w:rsid w:val="00981C51"/>
    <w:rsid w:val="0098288F"/>
    <w:rsid w:val="00983265"/>
    <w:rsid w:val="00983273"/>
    <w:rsid w:val="00983297"/>
    <w:rsid w:val="00983627"/>
    <w:rsid w:val="00983CBE"/>
    <w:rsid w:val="00983D0A"/>
    <w:rsid w:val="009842B5"/>
    <w:rsid w:val="00984477"/>
    <w:rsid w:val="0098514D"/>
    <w:rsid w:val="009851FB"/>
    <w:rsid w:val="009852E1"/>
    <w:rsid w:val="0098555C"/>
    <w:rsid w:val="00985A3D"/>
    <w:rsid w:val="00985B5B"/>
    <w:rsid w:val="00985BF7"/>
    <w:rsid w:val="00985C9B"/>
    <w:rsid w:val="009869F4"/>
    <w:rsid w:val="00986C89"/>
    <w:rsid w:val="00986D58"/>
    <w:rsid w:val="0098714C"/>
    <w:rsid w:val="00987D45"/>
    <w:rsid w:val="00987FB0"/>
    <w:rsid w:val="00990330"/>
    <w:rsid w:val="009904EF"/>
    <w:rsid w:val="0099076E"/>
    <w:rsid w:val="00990ACF"/>
    <w:rsid w:val="00991113"/>
    <w:rsid w:val="009915F2"/>
    <w:rsid w:val="00991ED4"/>
    <w:rsid w:val="00992084"/>
    <w:rsid w:val="00992324"/>
    <w:rsid w:val="0099268E"/>
    <w:rsid w:val="00992946"/>
    <w:rsid w:val="009934C5"/>
    <w:rsid w:val="00993741"/>
    <w:rsid w:val="00994138"/>
    <w:rsid w:val="00994732"/>
    <w:rsid w:val="0099486E"/>
    <w:rsid w:val="00994F35"/>
    <w:rsid w:val="0099558D"/>
    <w:rsid w:val="0099594C"/>
    <w:rsid w:val="009959F9"/>
    <w:rsid w:val="009961F0"/>
    <w:rsid w:val="00997106"/>
    <w:rsid w:val="00997187"/>
    <w:rsid w:val="0099794F"/>
    <w:rsid w:val="00997B38"/>
    <w:rsid w:val="00997B48"/>
    <w:rsid w:val="00997E66"/>
    <w:rsid w:val="009A0703"/>
    <w:rsid w:val="009A0D9D"/>
    <w:rsid w:val="009A0F9A"/>
    <w:rsid w:val="009A1796"/>
    <w:rsid w:val="009A1C07"/>
    <w:rsid w:val="009A2055"/>
    <w:rsid w:val="009A2615"/>
    <w:rsid w:val="009A2EBF"/>
    <w:rsid w:val="009A3CA0"/>
    <w:rsid w:val="009A4090"/>
    <w:rsid w:val="009A498B"/>
    <w:rsid w:val="009A4D06"/>
    <w:rsid w:val="009A52E2"/>
    <w:rsid w:val="009A572D"/>
    <w:rsid w:val="009A5C91"/>
    <w:rsid w:val="009A5CCF"/>
    <w:rsid w:val="009A725E"/>
    <w:rsid w:val="009A7718"/>
    <w:rsid w:val="009A7D73"/>
    <w:rsid w:val="009B2BD8"/>
    <w:rsid w:val="009B3172"/>
    <w:rsid w:val="009B3188"/>
    <w:rsid w:val="009B33EE"/>
    <w:rsid w:val="009B3AA4"/>
    <w:rsid w:val="009B3F90"/>
    <w:rsid w:val="009B3F99"/>
    <w:rsid w:val="009B461E"/>
    <w:rsid w:val="009B46D3"/>
    <w:rsid w:val="009B5BC6"/>
    <w:rsid w:val="009B5C14"/>
    <w:rsid w:val="009B5C4F"/>
    <w:rsid w:val="009B62E0"/>
    <w:rsid w:val="009B6951"/>
    <w:rsid w:val="009B704D"/>
    <w:rsid w:val="009B7120"/>
    <w:rsid w:val="009C0CAE"/>
    <w:rsid w:val="009C0FA9"/>
    <w:rsid w:val="009C16B8"/>
    <w:rsid w:val="009C185D"/>
    <w:rsid w:val="009C1CA3"/>
    <w:rsid w:val="009C1D22"/>
    <w:rsid w:val="009C1ED8"/>
    <w:rsid w:val="009C21C4"/>
    <w:rsid w:val="009C24BC"/>
    <w:rsid w:val="009C2D89"/>
    <w:rsid w:val="009C2F72"/>
    <w:rsid w:val="009C3CB7"/>
    <w:rsid w:val="009C41EE"/>
    <w:rsid w:val="009C4457"/>
    <w:rsid w:val="009C4DE8"/>
    <w:rsid w:val="009C55C7"/>
    <w:rsid w:val="009C5726"/>
    <w:rsid w:val="009C5920"/>
    <w:rsid w:val="009C5E37"/>
    <w:rsid w:val="009C6C33"/>
    <w:rsid w:val="009C6D85"/>
    <w:rsid w:val="009C6E30"/>
    <w:rsid w:val="009C70E7"/>
    <w:rsid w:val="009C7913"/>
    <w:rsid w:val="009C79A2"/>
    <w:rsid w:val="009D037A"/>
    <w:rsid w:val="009D079E"/>
    <w:rsid w:val="009D09B4"/>
    <w:rsid w:val="009D0BF8"/>
    <w:rsid w:val="009D0D65"/>
    <w:rsid w:val="009D0DEE"/>
    <w:rsid w:val="009D186D"/>
    <w:rsid w:val="009D1937"/>
    <w:rsid w:val="009D30EC"/>
    <w:rsid w:val="009D33B1"/>
    <w:rsid w:val="009D34E1"/>
    <w:rsid w:val="009D3886"/>
    <w:rsid w:val="009D3A8F"/>
    <w:rsid w:val="009D3E2D"/>
    <w:rsid w:val="009D4CA4"/>
    <w:rsid w:val="009D4CFF"/>
    <w:rsid w:val="009D5663"/>
    <w:rsid w:val="009D5915"/>
    <w:rsid w:val="009D5AA4"/>
    <w:rsid w:val="009D654A"/>
    <w:rsid w:val="009D6B31"/>
    <w:rsid w:val="009D6DFF"/>
    <w:rsid w:val="009D6FFD"/>
    <w:rsid w:val="009D7B86"/>
    <w:rsid w:val="009D7EC2"/>
    <w:rsid w:val="009D7FDE"/>
    <w:rsid w:val="009E04D5"/>
    <w:rsid w:val="009E0CC6"/>
    <w:rsid w:val="009E18ED"/>
    <w:rsid w:val="009E19D1"/>
    <w:rsid w:val="009E1E11"/>
    <w:rsid w:val="009E24B9"/>
    <w:rsid w:val="009E2D14"/>
    <w:rsid w:val="009E2D2D"/>
    <w:rsid w:val="009E3D0D"/>
    <w:rsid w:val="009E460C"/>
    <w:rsid w:val="009E4A74"/>
    <w:rsid w:val="009E4CBF"/>
    <w:rsid w:val="009E4EB0"/>
    <w:rsid w:val="009E56D3"/>
    <w:rsid w:val="009E612F"/>
    <w:rsid w:val="009E6D86"/>
    <w:rsid w:val="009E71FB"/>
    <w:rsid w:val="009E7744"/>
    <w:rsid w:val="009E7AE5"/>
    <w:rsid w:val="009E7B70"/>
    <w:rsid w:val="009E7B8D"/>
    <w:rsid w:val="009F03EE"/>
    <w:rsid w:val="009F0964"/>
    <w:rsid w:val="009F1178"/>
    <w:rsid w:val="009F1E4B"/>
    <w:rsid w:val="009F2A49"/>
    <w:rsid w:val="009F3073"/>
    <w:rsid w:val="009F31B6"/>
    <w:rsid w:val="009F31F8"/>
    <w:rsid w:val="009F3795"/>
    <w:rsid w:val="009F3827"/>
    <w:rsid w:val="009F45E4"/>
    <w:rsid w:val="009F4928"/>
    <w:rsid w:val="009F4A0C"/>
    <w:rsid w:val="009F4DB7"/>
    <w:rsid w:val="009F523E"/>
    <w:rsid w:val="009F5B5A"/>
    <w:rsid w:val="009F5F95"/>
    <w:rsid w:val="009F685D"/>
    <w:rsid w:val="009F79D9"/>
    <w:rsid w:val="009F7D8A"/>
    <w:rsid w:val="00A008A7"/>
    <w:rsid w:val="00A00979"/>
    <w:rsid w:val="00A00C1C"/>
    <w:rsid w:val="00A00C8A"/>
    <w:rsid w:val="00A00EEE"/>
    <w:rsid w:val="00A01225"/>
    <w:rsid w:val="00A019E3"/>
    <w:rsid w:val="00A01C57"/>
    <w:rsid w:val="00A0208E"/>
    <w:rsid w:val="00A0214B"/>
    <w:rsid w:val="00A02900"/>
    <w:rsid w:val="00A02971"/>
    <w:rsid w:val="00A031B8"/>
    <w:rsid w:val="00A03B3D"/>
    <w:rsid w:val="00A04596"/>
    <w:rsid w:val="00A045A9"/>
    <w:rsid w:val="00A0498B"/>
    <w:rsid w:val="00A04B29"/>
    <w:rsid w:val="00A053C2"/>
    <w:rsid w:val="00A0722D"/>
    <w:rsid w:val="00A07B2B"/>
    <w:rsid w:val="00A07D78"/>
    <w:rsid w:val="00A07F1D"/>
    <w:rsid w:val="00A116B2"/>
    <w:rsid w:val="00A11815"/>
    <w:rsid w:val="00A119A9"/>
    <w:rsid w:val="00A11EA5"/>
    <w:rsid w:val="00A122A6"/>
    <w:rsid w:val="00A12302"/>
    <w:rsid w:val="00A124D4"/>
    <w:rsid w:val="00A13291"/>
    <w:rsid w:val="00A13946"/>
    <w:rsid w:val="00A14054"/>
    <w:rsid w:val="00A140CB"/>
    <w:rsid w:val="00A14651"/>
    <w:rsid w:val="00A14B27"/>
    <w:rsid w:val="00A14F70"/>
    <w:rsid w:val="00A158C8"/>
    <w:rsid w:val="00A15E1D"/>
    <w:rsid w:val="00A16824"/>
    <w:rsid w:val="00A16A41"/>
    <w:rsid w:val="00A1752A"/>
    <w:rsid w:val="00A177FB"/>
    <w:rsid w:val="00A178B0"/>
    <w:rsid w:val="00A17D89"/>
    <w:rsid w:val="00A17DD4"/>
    <w:rsid w:val="00A17F61"/>
    <w:rsid w:val="00A2014A"/>
    <w:rsid w:val="00A20696"/>
    <w:rsid w:val="00A20FE4"/>
    <w:rsid w:val="00A2149D"/>
    <w:rsid w:val="00A218C5"/>
    <w:rsid w:val="00A229DA"/>
    <w:rsid w:val="00A22F5E"/>
    <w:rsid w:val="00A23161"/>
    <w:rsid w:val="00A24017"/>
    <w:rsid w:val="00A24199"/>
    <w:rsid w:val="00A24698"/>
    <w:rsid w:val="00A24A6E"/>
    <w:rsid w:val="00A25E58"/>
    <w:rsid w:val="00A2686A"/>
    <w:rsid w:val="00A268B9"/>
    <w:rsid w:val="00A26C85"/>
    <w:rsid w:val="00A27A5C"/>
    <w:rsid w:val="00A27CCB"/>
    <w:rsid w:val="00A3087E"/>
    <w:rsid w:val="00A30D76"/>
    <w:rsid w:val="00A30D9D"/>
    <w:rsid w:val="00A30ECE"/>
    <w:rsid w:val="00A3160D"/>
    <w:rsid w:val="00A31B84"/>
    <w:rsid w:val="00A31BC2"/>
    <w:rsid w:val="00A32165"/>
    <w:rsid w:val="00A3234E"/>
    <w:rsid w:val="00A332FF"/>
    <w:rsid w:val="00A33AF5"/>
    <w:rsid w:val="00A33FEC"/>
    <w:rsid w:val="00A340B0"/>
    <w:rsid w:val="00A342FF"/>
    <w:rsid w:val="00A349EB"/>
    <w:rsid w:val="00A34A44"/>
    <w:rsid w:val="00A352CF"/>
    <w:rsid w:val="00A35415"/>
    <w:rsid w:val="00A35819"/>
    <w:rsid w:val="00A3694A"/>
    <w:rsid w:val="00A36A7B"/>
    <w:rsid w:val="00A36A7F"/>
    <w:rsid w:val="00A36B56"/>
    <w:rsid w:val="00A36D2E"/>
    <w:rsid w:val="00A36F3D"/>
    <w:rsid w:val="00A371B9"/>
    <w:rsid w:val="00A373BD"/>
    <w:rsid w:val="00A373DD"/>
    <w:rsid w:val="00A37C0F"/>
    <w:rsid w:val="00A37C7C"/>
    <w:rsid w:val="00A40092"/>
    <w:rsid w:val="00A40902"/>
    <w:rsid w:val="00A41117"/>
    <w:rsid w:val="00A41167"/>
    <w:rsid w:val="00A4116F"/>
    <w:rsid w:val="00A4135A"/>
    <w:rsid w:val="00A41B12"/>
    <w:rsid w:val="00A41E8B"/>
    <w:rsid w:val="00A427DD"/>
    <w:rsid w:val="00A42B27"/>
    <w:rsid w:val="00A42CAB"/>
    <w:rsid w:val="00A4326B"/>
    <w:rsid w:val="00A4470D"/>
    <w:rsid w:val="00A44A67"/>
    <w:rsid w:val="00A44B4C"/>
    <w:rsid w:val="00A457F4"/>
    <w:rsid w:val="00A4699C"/>
    <w:rsid w:val="00A47F70"/>
    <w:rsid w:val="00A5041A"/>
    <w:rsid w:val="00A51C9F"/>
    <w:rsid w:val="00A52038"/>
    <w:rsid w:val="00A52266"/>
    <w:rsid w:val="00A52AAE"/>
    <w:rsid w:val="00A52C49"/>
    <w:rsid w:val="00A52C80"/>
    <w:rsid w:val="00A53BF5"/>
    <w:rsid w:val="00A53E8D"/>
    <w:rsid w:val="00A53E8E"/>
    <w:rsid w:val="00A54677"/>
    <w:rsid w:val="00A54A85"/>
    <w:rsid w:val="00A54FCB"/>
    <w:rsid w:val="00A5599A"/>
    <w:rsid w:val="00A559CF"/>
    <w:rsid w:val="00A55C46"/>
    <w:rsid w:val="00A55C9C"/>
    <w:rsid w:val="00A560A9"/>
    <w:rsid w:val="00A56262"/>
    <w:rsid w:val="00A56633"/>
    <w:rsid w:val="00A56654"/>
    <w:rsid w:val="00A56C79"/>
    <w:rsid w:val="00A56E7B"/>
    <w:rsid w:val="00A571FE"/>
    <w:rsid w:val="00A5774E"/>
    <w:rsid w:val="00A57A7F"/>
    <w:rsid w:val="00A60BA8"/>
    <w:rsid w:val="00A61226"/>
    <w:rsid w:val="00A6158C"/>
    <w:rsid w:val="00A6243B"/>
    <w:rsid w:val="00A624DF"/>
    <w:rsid w:val="00A62C4E"/>
    <w:rsid w:val="00A64203"/>
    <w:rsid w:val="00A645D4"/>
    <w:rsid w:val="00A64A59"/>
    <w:rsid w:val="00A65105"/>
    <w:rsid w:val="00A66219"/>
    <w:rsid w:val="00A665A9"/>
    <w:rsid w:val="00A66DCD"/>
    <w:rsid w:val="00A66E1B"/>
    <w:rsid w:val="00A67251"/>
    <w:rsid w:val="00A67464"/>
    <w:rsid w:val="00A674FB"/>
    <w:rsid w:val="00A702A5"/>
    <w:rsid w:val="00A70585"/>
    <w:rsid w:val="00A70AED"/>
    <w:rsid w:val="00A71067"/>
    <w:rsid w:val="00A7141B"/>
    <w:rsid w:val="00A71837"/>
    <w:rsid w:val="00A718AA"/>
    <w:rsid w:val="00A71F6D"/>
    <w:rsid w:val="00A7219C"/>
    <w:rsid w:val="00A72AE6"/>
    <w:rsid w:val="00A72D27"/>
    <w:rsid w:val="00A72E90"/>
    <w:rsid w:val="00A72F55"/>
    <w:rsid w:val="00A73F42"/>
    <w:rsid w:val="00A74174"/>
    <w:rsid w:val="00A7440F"/>
    <w:rsid w:val="00A747B8"/>
    <w:rsid w:val="00A74A03"/>
    <w:rsid w:val="00A74EE1"/>
    <w:rsid w:val="00A7563C"/>
    <w:rsid w:val="00A7599C"/>
    <w:rsid w:val="00A75FB3"/>
    <w:rsid w:val="00A7617C"/>
    <w:rsid w:val="00A7676A"/>
    <w:rsid w:val="00A76E38"/>
    <w:rsid w:val="00A77681"/>
    <w:rsid w:val="00A776C1"/>
    <w:rsid w:val="00A801E4"/>
    <w:rsid w:val="00A8074F"/>
    <w:rsid w:val="00A80881"/>
    <w:rsid w:val="00A80C5E"/>
    <w:rsid w:val="00A8146B"/>
    <w:rsid w:val="00A814EF"/>
    <w:rsid w:val="00A8173E"/>
    <w:rsid w:val="00A81853"/>
    <w:rsid w:val="00A8202C"/>
    <w:rsid w:val="00A82E4F"/>
    <w:rsid w:val="00A82F12"/>
    <w:rsid w:val="00A836E5"/>
    <w:rsid w:val="00A8379F"/>
    <w:rsid w:val="00A83AB0"/>
    <w:rsid w:val="00A83E9F"/>
    <w:rsid w:val="00A83ED6"/>
    <w:rsid w:val="00A846A6"/>
    <w:rsid w:val="00A84A96"/>
    <w:rsid w:val="00A84D81"/>
    <w:rsid w:val="00A8535B"/>
    <w:rsid w:val="00A85563"/>
    <w:rsid w:val="00A85879"/>
    <w:rsid w:val="00A86BEC"/>
    <w:rsid w:val="00A87074"/>
    <w:rsid w:val="00A8720B"/>
    <w:rsid w:val="00A87610"/>
    <w:rsid w:val="00A8762E"/>
    <w:rsid w:val="00A87AAC"/>
    <w:rsid w:val="00A9014E"/>
    <w:rsid w:val="00A9030A"/>
    <w:rsid w:val="00A906F2"/>
    <w:rsid w:val="00A913EA"/>
    <w:rsid w:val="00A915F0"/>
    <w:rsid w:val="00A91897"/>
    <w:rsid w:val="00A9225E"/>
    <w:rsid w:val="00A9244A"/>
    <w:rsid w:val="00A92AFE"/>
    <w:rsid w:val="00A92C26"/>
    <w:rsid w:val="00A92EB9"/>
    <w:rsid w:val="00A93802"/>
    <w:rsid w:val="00A938DE"/>
    <w:rsid w:val="00A93CCF"/>
    <w:rsid w:val="00A93F9B"/>
    <w:rsid w:val="00A94F2E"/>
    <w:rsid w:val="00A951AD"/>
    <w:rsid w:val="00A95DF2"/>
    <w:rsid w:val="00A96002"/>
    <w:rsid w:val="00A961F0"/>
    <w:rsid w:val="00A96DC3"/>
    <w:rsid w:val="00A96EC3"/>
    <w:rsid w:val="00A9718C"/>
    <w:rsid w:val="00A97F05"/>
    <w:rsid w:val="00A97FD1"/>
    <w:rsid w:val="00AA0274"/>
    <w:rsid w:val="00AA0A78"/>
    <w:rsid w:val="00AA0E6C"/>
    <w:rsid w:val="00AA0F11"/>
    <w:rsid w:val="00AA1273"/>
    <w:rsid w:val="00AA12E4"/>
    <w:rsid w:val="00AA1585"/>
    <w:rsid w:val="00AA1777"/>
    <w:rsid w:val="00AA1897"/>
    <w:rsid w:val="00AA194C"/>
    <w:rsid w:val="00AA1EEE"/>
    <w:rsid w:val="00AA1F7F"/>
    <w:rsid w:val="00AA2FE2"/>
    <w:rsid w:val="00AA36A7"/>
    <w:rsid w:val="00AA3C89"/>
    <w:rsid w:val="00AA3FF0"/>
    <w:rsid w:val="00AA402B"/>
    <w:rsid w:val="00AA4666"/>
    <w:rsid w:val="00AA46B4"/>
    <w:rsid w:val="00AA4838"/>
    <w:rsid w:val="00AA484A"/>
    <w:rsid w:val="00AA58B2"/>
    <w:rsid w:val="00AA5FAA"/>
    <w:rsid w:val="00AA606D"/>
    <w:rsid w:val="00AA6B10"/>
    <w:rsid w:val="00AA6F52"/>
    <w:rsid w:val="00AA711D"/>
    <w:rsid w:val="00AA7413"/>
    <w:rsid w:val="00AA7711"/>
    <w:rsid w:val="00AA777D"/>
    <w:rsid w:val="00AA7A66"/>
    <w:rsid w:val="00AA7B3D"/>
    <w:rsid w:val="00AB085B"/>
    <w:rsid w:val="00AB1026"/>
    <w:rsid w:val="00AB107E"/>
    <w:rsid w:val="00AB10A0"/>
    <w:rsid w:val="00AB1640"/>
    <w:rsid w:val="00AB21AF"/>
    <w:rsid w:val="00AB22E3"/>
    <w:rsid w:val="00AB279A"/>
    <w:rsid w:val="00AB2B02"/>
    <w:rsid w:val="00AB2DA6"/>
    <w:rsid w:val="00AB300E"/>
    <w:rsid w:val="00AB3BA4"/>
    <w:rsid w:val="00AB3E3A"/>
    <w:rsid w:val="00AB4B78"/>
    <w:rsid w:val="00AB4CC0"/>
    <w:rsid w:val="00AB509C"/>
    <w:rsid w:val="00AB527C"/>
    <w:rsid w:val="00AB54EC"/>
    <w:rsid w:val="00AB6095"/>
    <w:rsid w:val="00AB64BA"/>
    <w:rsid w:val="00AB6741"/>
    <w:rsid w:val="00AB6AB9"/>
    <w:rsid w:val="00AB6C87"/>
    <w:rsid w:val="00AB718F"/>
    <w:rsid w:val="00AB7428"/>
    <w:rsid w:val="00AB7556"/>
    <w:rsid w:val="00AB7D41"/>
    <w:rsid w:val="00AC0212"/>
    <w:rsid w:val="00AC0D26"/>
    <w:rsid w:val="00AC1611"/>
    <w:rsid w:val="00AC16D1"/>
    <w:rsid w:val="00AC1B1A"/>
    <w:rsid w:val="00AC1D72"/>
    <w:rsid w:val="00AC1E63"/>
    <w:rsid w:val="00AC24D7"/>
    <w:rsid w:val="00AC272C"/>
    <w:rsid w:val="00AC2E0D"/>
    <w:rsid w:val="00AC3BC3"/>
    <w:rsid w:val="00AC3BD8"/>
    <w:rsid w:val="00AC3F7B"/>
    <w:rsid w:val="00AC4467"/>
    <w:rsid w:val="00AC4920"/>
    <w:rsid w:val="00AC4E47"/>
    <w:rsid w:val="00AC4E6D"/>
    <w:rsid w:val="00AC5488"/>
    <w:rsid w:val="00AC5A9F"/>
    <w:rsid w:val="00AC5D90"/>
    <w:rsid w:val="00AC6140"/>
    <w:rsid w:val="00AC6E44"/>
    <w:rsid w:val="00AC77F6"/>
    <w:rsid w:val="00AC7975"/>
    <w:rsid w:val="00AC7AEF"/>
    <w:rsid w:val="00AC7F3F"/>
    <w:rsid w:val="00AD0890"/>
    <w:rsid w:val="00AD09B1"/>
    <w:rsid w:val="00AD0A6F"/>
    <w:rsid w:val="00AD186A"/>
    <w:rsid w:val="00AD189A"/>
    <w:rsid w:val="00AD19C5"/>
    <w:rsid w:val="00AD1BE8"/>
    <w:rsid w:val="00AD1FE8"/>
    <w:rsid w:val="00AD25E9"/>
    <w:rsid w:val="00AD26CD"/>
    <w:rsid w:val="00AD2E3B"/>
    <w:rsid w:val="00AD3157"/>
    <w:rsid w:val="00AD32E1"/>
    <w:rsid w:val="00AD330A"/>
    <w:rsid w:val="00AD3470"/>
    <w:rsid w:val="00AD45F9"/>
    <w:rsid w:val="00AD4B1E"/>
    <w:rsid w:val="00AD4D4C"/>
    <w:rsid w:val="00AD4F64"/>
    <w:rsid w:val="00AD595F"/>
    <w:rsid w:val="00AD59B0"/>
    <w:rsid w:val="00AD5FA5"/>
    <w:rsid w:val="00AD61C7"/>
    <w:rsid w:val="00AE003E"/>
    <w:rsid w:val="00AE0145"/>
    <w:rsid w:val="00AE0435"/>
    <w:rsid w:val="00AE056F"/>
    <w:rsid w:val="00AE0A4A"/>
    <w:rsid w:val="00AE0AC1"/>
    <w:rsid w:val="00AE1358"/>
    <w:rsid w:val="00AE1A50"/>
    <w:rsid w:val="00AE1D65"/>
    <w:rsid w:val="00AE2328"/>
    <w:rsid w:val="00AE2FBB"/>
    <w:rsid w:val="00AE32FC"/>
    <w:rsid w:val="00AE37C3"/>
    <w:rsid w:val="00AE4103"/>
    <w:rsid w:val="00AE42A9"/>
    <w:rsid w:val="00AE46DE"/>
    <w:rsid w:val="00AE51BB"/>
    <w:rsid w:val="00AE6154"/>
    <w:rsid w:val="00AE6C63"/>
    <w:rsid w:val="00AE7DC2"/>
    <w:rsid w:val="00AF10B3"/>
    <w:rsid w:val="00AF11F4"/>
    <w:rsid w:val="00AF14FE"/>
    <w:rsid w:val="00AF179D"/>
    <w:rsid w:val="00AF1D2B"/>
    <w:rsid w:val="00AF2179"/>
    <w:rsid w:val="00AF251F"/>
    <w:rsid w:val="00AF2908"/>
    <w:rsid w:val="00AF3062"/>
    <w:rsid w:val="00AF3B4B"/>
    <w:rsid w:val="00AF3C4C"/>
    <w:rsid w:val="00AF4031"/>
    <w:rsid w:val="00AF503F"/>
    <w:rsid w:val="00AF5A9C"/>
    <w:rsid w:val="00AF5BC0"/>
    <w:rsid w:val="00AF6081"/>
    <w:rsid w:val="00AF6386"/>
    <w:rsid w:val="00AF6533"/>
    <w:rsid w:val="00AF7CE7"/>
    <w:rsid w:val="00B002FA"/>
    <w:rsid w:val="00B003B4"/>
    <w:rsid w:val="00B003F6"/>
    <w:rsid w:val="00B00BA1"/>
    <w:rsid w:val="00B00C92"/>
    <w:rsid w:val="00B00D19"/>
    <w:rsid w:val="00B0135C"/>
    <w:rsid w:val="00B01B1A"/>
    <w:rsid w:val="00B02A7A"/>
    <w:rsid w:val="00B0334E"/>
    <w:rsid w:val="00B03353"/>
    <w:rsid w:val="00B0385C"/>
    <w:rsid w:val="00B03926"/>
    <w:rsid w:val="00B039C6"/>
    <w:rsid w:val="00B03DB4"/>
    <w:rsid w:val="00B03DB9"/>
    <w:rsid w:val="00B040B6"/>
    <w:rsid w:val="00B05064"/>
    <w:rsid w:val="00B054CB"/>
    <w:rsid w:val="00B06214"/>
    <w:rsid w:val="00B0648D"/>
    <w:rsid w:val="00B06590"/>
    <w:rsid w:val="00B06C38"/>
    <w:rsid w:val="00B076DA"/>
    <w:rsid w:val="00B07A13"/>
    <w:rsid w:val="00B07AEB"/>
    <w:rsid w:val="00B100B1"/>
    <w:rsid w:val="00B104C0"/>
    <w:rsid w:val="00B1073C"/>
    <w:rsid w:val="00B1092C"/>
    <w:rsid w:val="00B10C44"/>
    <w:rsid w:val="00B11093"/>
    <w:rsid w:val="00B11933"/>
    <w:rsid w:val="00B11BF1"/>
    <w:rsid w:val="00B121D3"/>
    <w:rsid w:val="00B1226D"/>
    <w:rsid w:val="00B12489"/>
    <w:rsid w:val="00B13239"/>
    <w:rsid w:val="00B1325D"/>
    <w:rsid w:val="00B13290"/>
    <w:rsid w:val="00B13C44"/>
    <w:rsid w:val="00B13FDC"/>
    <w:rsid w:val="00B14C1F"/>
    <w:rsid w:val="00B15383"/>
    <w:rsid w:val="00B1597E"/>
    <w:rsid w:val="00B1619D"/>
    <w:rsid w:val="00B1633B"/>
    <w:rsid w:val="00B176E1"/>
    <w:rsid w:val="00B177D1"/>
    <w:rsid w:val="00B17BBB"/>
    <w:rsid w:val="00B17FC2"/>
    <w:rsid w:val="00B200AB"/>
    <w:rsid w:val="00B203B3"/>
    <w:rsid w:val="00B206FB"/>
    <w:rsid w:val="00B20E5C"/>
    <w:rsid w:val="00B21624"/>
    <w:rsid w:val="00B2187F"/>
    <w:rsid w:val="00B219C0"/>
    <w:rsid w:val="00B22C8E"/>
    <w:rsid w:val="00B232CD"/>
    <w:rsid w:val="00B2330D"/>
    <w:rsid w:val="00B23CA6"/>
    <w:rsid w:val="00B23E63"/>
    <w:rsid w:val="00B23F7B"/>
    <w:rsid w:val="00B24338"/>
    <w:rsid w:val="00B24AC1"/>
    <w:rsid w:val="00B24B25"/>
    <w:rsid w:val="00B25381"/>
    <w:rsid w:val="00B25D06"/>
    <w:rsid w:val="00B27560"/>
    <w:rsid w:val="00B30334"/>
    <w:rsid w:val="00B30974"/>
    <w:rsid w:val="00B31043"/>
    <w:rsid w:val="00B31301"/>
    <w:rsid w:val="00B31400"/>
    <w:rsid w:val="00B32568"/>
    <w:rsid w:val="00B32B29"/>
    <w:rsid w:val="00B3352F"/>
    <w:rsid w:val="00B335D7"/>
    <w:rsid w:val="00B33793"/>
    <w:rsid w:val="00B3384A"/>
    <w:rsid w:val="00B34238"/>
    <w:rsid w:val="00B343B6"/>
    <w:rsid w:val="00B34903"/>
    <w:rsid w:val="00B3575E"/>
    <w:rsid w:val="00B36223"/>
    <w:rsid w:val="00B36ACF"/>
    <w:rsid w:val="00B400A3"/>
    <w:rsid w:val="00B406F7"/>
    <w:rsid w:val="00B40EDD"/>
    <w:rsid w:val="00B42A7E"/>
    <w:rsid w:val="00B43498"/>
    <w:rsid w:val="00B43C98"/>
    <w:rsid w:val="00B442FA"/>
    <w:rsid w:val="00B44823"/>
    <w:rsid w:val="00B448D3"/>
    <w:rsid w:val="00B44B51"/>
    <w:rsid w:val="00B44DEE"/>
    <w:rsid w:val="00B4514E"/>
    <w:rsid w:val="00B4582A"/>
    <w:rsid w:val="00B45985"/>
    <w:rsid w:val="00B463DA"/>
    <w:rsid w:val="00B46620"/>
    <w:rsid w:val="00B4683F"/>
    <w:rsid w:val="00B4777E"/>
    <w:rsid w:val="00B47A8E"/>
    <w:rsid w:val="00B50126"/>
    <w:rsid w:val="00B50541"/>
    <w:rsid w:val="00B509C9"/>
    <w:rsid w:val="00B5116A"/>
    <w:rsid w:val="00B514A9"/>
    <w:rsid w:val="00B51E7F"/>
    <w:rsid w:val="00B51F47"/>
    <w:rsid w:val="00B51F62"/>
    <w:rsid w:val="00B522F6"/>
    <w:rsid w:val="00B52F78"/>
    <w:rsid w:val="00B53307"/>
    <w:rsid w:val="00B5380B"/>
    <w:rsid w:val="00B54631"/>
    <w:rsid w:val="00B54C62"/>
    <w:rsid w:val="00B54CC2"/>
    <w:rsid w:val="00B5523E"/>
    <w:rsid w:val="00B55419"/>
    <w:rsid w:val="00B55572"/>
    <w:rsid w:val="00B5558F"/>
    <w:rsid w:val="00B55BD4"/>
    <w:rsid w:val="00B5621D"/>
    <w:rsid w:val="00B56803"/>
    <w:rsid w:val="00B57211"/>
    <w:rsid w:val="00B574D2"/>
    <w:rsid w:val="00B57AA2"/>
    <w:rsid w:val="00B604C3"/>
    <w:rsid w:val="00B60521"/>
    <w:rsid w:val="00B60944"/>
    <w:rsid w:val="00B60B1E"/>
    <w:rsid w:val="00B60EE8"/>
    <w:rsid w:val="00B61492"/>
    <w:rsid w:val="00B6188D"/>
    <w:rsid w:val="00B6212B"/>
    <w:rsid w:val="00B6291A"/>
    <w:rsid w:val="00B62A4C"/>
    <w:rsid w:val="00B62CDF"/>
    <w:rsid w:val="00B62F7B"/>
    <w:rsid w:val="00B63EB7"/>
    <w:rsid w:val="00B6495B"/>
    <w:rsid w:val="00B64FB5"/>
    <w:rsid w:val="00B650C1"/>
    <w:rsid w:val="00B6573B"/>
    <w:rsid w:val="00B65DE7"/>
    <w:rsid w:val="00B65E66"/>
    <w:rsid w:val="00B669DD"/>
    <w:rsid w:val="00B6737D"/>
    <w:rsid w:val="00B675A4"/>
    <w:rsid w:val="00B67C16"/>
    <w:rsid w:val="00B67D3A"/>
    <w:rsid w:val="00B70045"/>
    <w:rsid w:val="00B703B5"/>
    <w:rsid w:val="00B706D1"/>
    <w:rsid w:val="00B70A93"/>
    <w:rsid w:val="00B70AC4"/>
    <w:rsid w:val="00B70E4D"/>
    <w:rsid w:val="00B71520"/>
    <w:rsid w:val="00B71C40"/>
    <w:rsid w:val="00B71C54"/>
    <w:rsid w:val="00B71E58"/>
    <w:rsid w:val="00B72221"/>
    <w:rsid w:val="00B7295A"/>
    <w:rsid w:val="00B73503"/>
    <w:rsid w:val="00B744A8"/>
    <w:rsid w:val="00B74544"/>
    <w:rsid w:val="00B7481F"/>
    <w:rsid w:val="00B74A89"/>
    <w:rsid w:val="00B74D1E"/>
    <w:rsid w:val="00B74FCF"/>
    <w:rsid w:val="00B75325"/>
    <w:rsid w:val="00B7588D"/>
    <w:rsid w:val="00B75924"/>
    <w:rsid w:val="00B75AFC"/>
    <w:rsid w:val="00B768C9"/>
    <w:rsid w:val="00B76B99"/>
    <w:rsid w:val="00B770B5"/>
    <w:rsid w:val="00B770F6"/>
    <w:rsid w:val="00B77A35"/>
    <w:rsid w:val="00B80483"/>
    <w:rsid w:val="00B81470"/>
    <w:rsid w:val="00B81D8E"/>
    <w:rsid w:val="00B81F56"/>
    <w:rsid w:val="00B821C4"/>
    <w:rsid w:val="00B82A0E"/>
    <w:rsid w:val="00B82C4D"/>
    <w:rsid w:val="00B8349E"/>
    <w:rsid w:val="00B83552"/>
    <w:rsid w:val="00B83A1A"/>
    <w:rsid w:val="00B83D4C"/>
    <w:rsid w:val="00B84391"/>
    <w:rsid w:val="00B84957"/>
    <w:rsid w:val="00B84B2D"/>
    <w:rsid w:val="00B85851"/>
    <w:rsid w:val="00B85ECF"/>
    <w:rsid w:val="00B86ACC"/>
    <w:rsid w:val="00B870E3"/>
    <w:rsid w:val="00B87619"/>
    <w:rsid w:val="00B8777B"/>
    <w:rsid w:val="00B90889"/>
    <w:rsid w:val="00B917C9"/>
    <w:rsid w:val="00B91C92"/>
    <w:rsid w:val="00B920CF"/>
    <w:rsid w:val="00B92905"/>
    <w:rsid w:val="00B92EF7"/>
    <w:rsid w:val="00B931B3"/>
    <w:rsid w:val="00B93688"/>
    <w:rsid w:val="00B93B91"/>
    <w:rsid w:val="00B93BEE"/>
    <w:rsid w:val="00B93F50"/>
    <w:rsid w:val="00B94564"/>
    <w:rsid w:val="00B94A1A"/>
    <w:rsid w:val="00B9504B"/>
    <w:rsid w:val="00B95390"/>
    <w:rsid w:val="00B955D2"/>
    <w:rsid w:val="00B962B5"/>
    <w:rsid w:val="00B962D3"/>
    <w:rsid w:val="00B96F15"/>
    <w:rsid w:val="00B9704A"/>
    <w:rsid w:val="00B97F7D"/>
    <w:rsid w:val="00BA139C"/>
    <w:rsid w:val="00BA14CA"/>
    <w:rsid w:val="00BA1F28"/>
    <w:rsid w:val="00BA25F9"/>
    <w:rsid w:val="00BA2CB4"/>
    <w:rsid w:val="00BA3141"/>
    <w:rsid w:val="00BA3671"/>
    <w:rsid w:val="00BA37BE"/>
    <w:rsid w:val="00BA4B19"/>
    <w:rsid w:val="00BA4F3C"/>
    <w:rsid w:val="00BA5399"/>
    <w:rsid w:val="00BA546B"/>
    <w:rsid w:val="00BA5C1E"/>
    <w:rsid w:val="00BA5DBA"/>
    <w:rsid w:val="00BA5DC4"/>
    <w:rsid w:val="00BA648A"/>
    <w:rsid w:val="00BA68C9"/>
    <w:rsid w:val="00BA6CE0"/>
    <w:rsid w:val="00BA70D2"/>
    <w:rsid w:val="00BA7583"/>
    <w:rsid w:val="00BA793F"/>
    <w:rsid w:val="00BA7A00"/>
    <w:rsid w:val="00BA7A10"/>
    <w:rsid w:val="00BA7BF3"/>
    <w:rsid w:val="00BA7E06"/>
    <w:rsid w:val="00BB0CB2"/>
    <w:rsid w:val="00BB0E22"/>
    <w:rsid w:val="00BB1FF0"/>
    <w:rsid w:val="00BB2093"/>
    <w:rsid w:val="00BB2C6B"/>
    <w:rsid w:val="00BB2F24"/>
    <w:rsid w:val="00BB30BC"/>
    <w:rsid w:val="00BB3698"/>
    <w:rsid w:val="00BB3847"/>
    <w:rsid w:val="00BB3B61"/>
    <w:rsid w:val="00BB3CD7"/>
    <w:rsid w:val="00BB40F6"/>
    <w:rsid w:val="00BB4719"/>
    <w:rsid w:val="00BB61CE"/>
    <w:rsid w:val="00BB626E"/>
    <w:rsid w:val="00BB74E8"/>
    <w:rsid w:val="00BB77DA"/>
    <w:rsid w:val="00BB7D3F"/>
    <w:rsid w:val="00BC0212"/>
    <w:rsid w:val="00BC07BA"/>
    <w:rsid w:val="00BC093B"/>
    <w:rsid w:val="00BC0A24"/>
    <w:rsid w:val="00BC0A3C"/>
    <w:rsid w:val="00BC0BE2"/>
    <w:rsid w:val="00BC0BF0"/>
    <w:rsid w:val="00BC192D"/>
    <w:rsid w:val="00BC195A"/>
    <w:rsid w:val="00BC1E54"/>
    <w:rsid w:val="00BC2056"/>
    <w:rsid w:val="00BC23FD"/>
    <w:rsid w:val="00BC2696"/>
    <w:rsid w:val="00BC32FD"/>
    <w:rsid w:val="00BC36F0"/>
    <w:rsid w:val="00BC4266"/>
    <w:rsid w:val="00BC4685"/>
    <w:rsid w:val="00BC4AD3"/>
    <w:rsid w:val="00BC4BB3"/>
    <w:rsid w:val="00BC6515"/>
    <w:rsid w:val="00BC668B"/>
    <w:rsid w:val="00BC67E0"/>
    <w:rsid w:val="00BC69B3"/>
    <w:rsid w:val="00BC6B67"/>
    <w:rsid w:val="00BC6DC9"/>
    <w:rsid w:val="00BC787E"/>
    <w:rsid w:val="00BD154D"/>
    <w:rsid w:val="00BD1D0B"/>
    <w:rsid w:val="00BD1F51"/>
    <w:rsid w:val="00BD343C"/>
    <w:rsid w:val="00BD37B2"/>
    <w:rsid w:val="00BD3A8C"/>
    <w:rsid w:val="00BD3DD5"/>
    <w:rsid w:val="00BD3E93"/>
    <w:rsid w:val="00BD4014"/>
    <w:rsid w:val="00BD43B9"/>
    <w:rsid w:val="00BD4559"/>
    <w:rsid w:val="00BD4B79"/>
    <w:rsid w:val="00BD50E7"/>
    <w:rsid w:val="00BD5588"/>
    <w:rsid w:val="00BD5CA6"/>
    <w:rsid w:val="00BD5E98"/>
    <w:rsid w:val="00BD7695"/>
    <w:rsid w:val="00BD7E10"/>
    <w:rsid w:val="00BE0967"/>
    <w:rsid w:val="00BE0AE3"/>
    <w:rsid w:val="00BE0B0B"/>
    <w:rsid w:val="00BE103D"/>
    <w:rsid w:val="00BE104A"/>
    <w:rsid w:val="00BE10E4"/>
    <w:rsid w:val="00BE16D1"/>
    <w:rsid w:val="00BE1A08"/>
    <w:rsid w:val="00BE1BE9"/>
    <w:rsid w:val="00BE2399"/>
    <w:rsid w:val="00BE2435"/>
    <w:rsid w:val="00BE2774"/>
    <w:rsid w:val="00BE297F"/>
    <w:rsid w:val="00BE2E84"/>
    <w:rsid w:val="00BE32AE"/>
    <w:rsid w:val="00BE3551"/>
    <w:rsid w:val="00BE390F"/>
    <w:rsid w:val="00BE3B0F"/>
    <w:rsid w:val="00BE3CDD"/>
    <w:rsid w:val="00BE3CE0"/>
    <w:rsid w:val="00BE40E5"/>
    <w:rsid w:val="00BE4B12"/>
    <w:rsid w:val="00BE4B71"/>
    <w:rsid w:val="00BE4EC5"/>
    <w:rsid w:val="00BE537A"/>
    <w:rsid w:val="00BE53FC"/>
    <w:rsid w:val="00BE598D"/>
    <w:rsid w:val="00BE6878"/>
    <w:rsid w:val="00BE757B"/>
    <w:rsid w:val="00BE760D"/>
    <w:rsid w:val="00BE787A"/>
    <w:rsid w:val="00BE7956"/>
    <w:rsid w:val="00BE7ADE"/>
    <w:rsid w:val="00BF0169"/>
    <w:rsid w:val="00BF0AEE"/>
    <w:rsid w:val="00BF1E11"/>
    <w:rsid w:val="00BF29D5"/>
    <w:rsid w:val="00BF29E0"/>
    <w:rsid w:val="00BF310F"/>
    <w:rsid w:val="00BF3224"/>
    <w:rsid w:val="00BF361B"/>
    <w:rsid w:val="00BF443A"/>
    <w:rsid w:val="00BF445C"/>
    <w:rsid w:val="00BF473E"/>
    <w:rsid w:val="00BF4C10"/>
    <w:rsid w:val="00BF56DD"/>
    <w:rsid w:val="00BF65DC"/>
    <w:rsid w:val="00BF6EF8"/>
    <w:rsid w:val="00BF71D5"/>
    <w:rsid w:val="00BF7E0D"/>
    <w:rsid w:val="00C00126"/>
    <w:rsid w:val="00C00F45"/>
    <w:rsid w:val="00C028D3"/>
    <w:rsid w:val="00C02990"/>
    <w:rsid w:val="00C0302D"/>
    <w:rsid w:val="00C0332B"/>
    <w:rsid w:val="00C03528"/>
    <w:rsid w:val="00C03977"/>
    <w:rsid w:val="00C03EBC"/>
    <w:rsid w:val="00C03F71"/>
    <w:rsid w:val="00C04197"/>
    <w:rsid w:val="00C04427"/>
    <w:rsid w:val="00C04B8F"/>
    <w:rsid w:val="00C04C2F"/>
    <w:rsid w:val="00C0519D"/>
    <w:rsid w:val="00C051E4"/>
    <w:rsid w:val="00C05763"/>
    <w:rsid w:val="00C066F1"/>
    <w:rsid w:val="00C06726"/>
    <w:rsid w:val="00C06762"/>
    <w:rsid w:val="00C067CF"/>
    <w:rsid w:val="00C06B90"/>
    <w:rsid w:val="00C076B5"/>
    <w:rsid w:val="00C10075"/>
    <w:rsid w:val="00C100AE"/>
    <w:rsid w:val="00C103D8"/>
    <w:rsid w:val="00C1078A"/>
    <w:rsid w:val="00C107E1"/>
    <w:rsid w:val="00C11365"/>
    <w:rsid w:val="00C11DA8"/>
    <w:rsid w:val="00C12CAC"/>
    <w:rsid w:val="00C1351A"/>
    <w:rsid w:val="00C13CD5"/>
    <w:rsid w:val="00C13F9F"/>
    <w:rsid w:val="00C1403C"/>
    <w:rsid w:val="00C140CE"/>
    <w:rsid w:val="00C1415E"/>
    <w:rsid w:val="00C14451"/>
    <w:rsid w:val="00C1554D"/>
    <w:rsid w:val="00C16C28"/>
    <w:rsid w:val="00C17020"/>
    <w:rsid w:val="00C20239"/>
    <w:rsid w:val="00C20999"/>
    <w:rsid w:val="00C20C40"/>
    <w:rsid w:val="00C21362"/>
    <w:rsid w:val="00C21B03"/>
    <w:rsid w:val="00C21DC3"/>
    <w:rsid w:val="00C2206C"/>
    <w:rsid w:val="00C223A3"/>
    <w:rsid w:val="00C225C6"/>
    <w:rsid w:val="00C229C6"/>
    <w:rsid w:val="00C2353F"/>
    <w:rsid w:val="00C246A2"/>
    <w:rsid w:val="00C25082"/>
    <w:rsid w:val="00C25300"/>
    <w:rsid w:val="00C253C3"/>
    <w:rsid w:val="00C25EF3"/>
    <w:rsid w:val="00C25F5E"/>
    <w:rsid w:val="00C26441"/>
    <w:rsid w:val="00C309CD"/>
    <w:rsid w:val="00C30D24"/>
    <w:rsid w:val="00C30FCC"/>
    <w:rsid w:val="00C313FB"/>
    <w:rsid w:val="00C31B1E"/>
    <w:rsid w:val="00C31C18"/>
    <w:rsid w:val="00C3216D"/>
    <w:rsid w:val="00C32F4C"/>
    <w:rsid w:val="00C32FAB"/>
    <w:rsid w:val="00C33834"/>
    <w:rsid w:val="00C33ABF"/>
    <w:rsid w:val="00C33AC6"/>
    <w:rsid w:val="00C33C5C"/>
    <w:rsid w:val="00C33D3E"/>
    <w:rsid w:val="00C34726"/>
    <w:rsid w:val="00C34D0B"/>
    <w:rsid w:val="00C35CA6"/>
    <w:rsid w:val="00C35EE0"/>
    <w:rsid w:val="00C36AD4"/>
    <w:rsid w:val="00C37068"/>
    <w:rsid w:val="00C379FC"/>
    <w:rsid w:val="00C37A4D"/>
    <w:rsid w:val="00C40220"/>
    <w:rsid w:val="00C40F45"/>
    <w:rsid w:val="00C41253"/>
    <w:rsid w:val="00C414A9"/>
    <w:rsid w:val="00C422B9"/>
    <w:rsid w:val="00C43491"/>
    <w:rsid w:val="00C43ACC"/>
    <w:rsid w:val="00C44C5C"/>
    <w:rsid w:val="00C44D05"/>
    <w:rsid w:val="00C44ECF"/>
    <w:rsid w:val="00C456F7"/>
    <w:rsid w:val="00C45A22"/>
    <w:rsid w:val="00C461D3"/>
    <w:rsid w:val="00C46563"/>
    <w:rsid w:val="00C4695E"/>
    <w:rsid w:val="00C46ABC"/>
    <w:rsid w:val="00C46B58"/>
    <w:rsid w:val="00C478D9"/>
    <w:rsid w:val="00C47A16"/>
    <w:rsid w:val="00C47C2F"/>
    <w:rsid w:val="00C47FE2"/>
    <w:rsid w:val="00C50364"/>
    <w:rsid w:val="00C50C7E"/>
    <w:rsid w:val="00C51C16"/>
    <w:rsid w:val="00C51D3C"/>
    <w:rsid w:val="00C5210E"/>
    <w:rsid w:val="00C5244D"/>
    <w:rsid w:val="00C524C6"/>
    <w:rsid w:val="00C52552"/>
    <w:rsid w:val="00C52EB7"/>
    <w:rsid w:val="00C52F10"/>
    <w:rsid w:val="00C531E2"/>
    <w:rsid w:val="00C53208"/>
    <w:rsid w:val="00C537E6"/>
    <w:rsid w:val="00C53DD3"/>
    <w:rsid w:val="00C53F5F"/>
    <w:rsid w:val="00C5467F"/>
    <w:rsid w:val="00C547CF"/>
    <w:rsid w:val="00C54DF2"/>
    <w:rsid w:val="00C55D8E"/>
    <w:rsid w:val="00C570A2"/>
    <w:rsid w:val="00C57389"/>
    <w:rsid w:val="00C574D4"/>
    <w:rsid w:val="00C577FA"/>
    <w:rsid w:val="00C60D74"/>
    <w:rsid w:val="00C6142C"/>
    <w:rsid w:val="00C61620"/>
    <w:rsid w:val="00C6179B"/>
    <w:rsid w:val="00C61D7E"/>
    <w:rsid w:val="00C629C3"/>
    <w:rsid w:val="00C63453"/>
    <w:rsid w:val="00C634CA"/>
    <w:rsid w:val="00C63528"/>
    <w:rsid w:val="00C6370D"/>
    <w:rsid w:val="00C6454F"/>
    <w:rsid w:val="00C648CD"/>
    <w:rsid w:val="00C64A59"/>
    <w:rsid w:val="00C64C1C"/>
    <w:rsid w:val="00C64D8D"/>
    <w:rsid w:val="00C650D4"/>
    <w:rsid w:val="00C6553A"/>
    <w:rsid w:val="00C65CD8"/>
    <w:rsid w:val="00C65F47"/>
    <w:rsid w:val="00C66061"/>
    <w:rsid w:val="00C666AD"/>
    <w:rsid w:val="00C67B35"/>
    <w:rsid w:val="00C67B64"/>
    <w:rsid w:val="00C7028E"/>
    <w:rsid w:val="00C70624"/>
    <w:rsid w:val="00C7069E"/>
    <w:rsid w:val="00C70AEE"/>
    <w:rsid w:val="00C70C39"/>
    <w:rsid w:val="00C71A05"/>
    <w:rsid w:val="00C71BA9"/>
    <w:rsid w:val="00C72CBF"/>
    <w:rsid w:val="00C72E7B"/>
    <w:rsid w:val="00C72F86"/>
    <w:rsid w:val="00C7326E"/>
    <w:rsid w:val="00C73457"/>
    <w:rsid w:val="00C738EC"/>
    <w:rsid w:val="00C73A6C"/>
    <w:rsid w:val="00C73D62"/>
    <w:rsid w:val="00C74E21"/>
    <w:rsid w:val="00C7544D"/>
    <w:rsid w:val="00C75483"/>
    <w:rsid w:val="00C757EC"/>
    <w:rsid w:val="00C75E10"/>
    <w:rsid w:val="00C7631E"/>
    <w:rsid w:val="00C768E4"/>
    <w:rsid w:val="00C77089"/>
    <w:rsid w:val="00C771C1"/>
    <w:rsid w:val="00C773A7"/>
    <w:rsid w:val="00C800AA"/>
    <w:rsid w:val="00C8078A"/>
    <w:rsid w:val="00C812BC"/>
    <w:rsid w:val="00C819EA"/>
    <w:rsid w:val="00C82184"/>
    <w:rsid w:val="00C8278C"/>
    <w:rsid w:val="00C829C6"/>
    <w:rsid w:val="00C82BA0"/>
    <w:rsid w:val="00C82D23"/>
    <w:rsid w:val="00C835A3"/>
    <w:rsid w:val="00C836DC"/>
    <w:rsid w:val="00C8378F"/>
    <w:rsid w:val="00C8446A"/>
    <w:rsid w:val="00C84568"/>
    <w:rsid w:val="00C84635"/>
    <w:rsid w:val="00C84E05"/>
    <w:rsid w:val="00C84FA4"/>
    <w:rsid w:val="00C85200"/>
    <w:rsid w:val="00C85F01"/>
    <w:rsid w:val="00C8652D"/>
    <w:rsid w:val="00C8680C"/>
    <w:rsid w:val="00C87140"/>
    <w:rsid w:val="00C873C7"/>
    <w:rsid w:val="00C874D5"/>
    <w:rsid w:val="00C901C1"/>
    <w:rsid w:val="00C90E40"/>
    <w:rsid w:val="00C91633"/>
    <w:rsid w:val="00C91721"/>
    <w:rsid w:val="00C91BEA"/>
    <w:rsid w:val="00C91EF5"/>
    <w:rsid w:val="00C92620"/>
    <w:rsid w:val="00C92671"/>
    <w:rsid w:val="00C9276B"/>
    <w:rsid w:val="00C929B6"/>
    <w:rsid w:val="00C92C03"/>
    <w:rsid w:val="00C92C86"/>
    <w:rsid w:val="00C93146"/>
    <w:rsid w:val="00C93195"/>
    <w:rsid w:val="00C93306"/>
    <w:rsid w:val="00C9366E"/>
    <w:rsid w:val="00C93B96"/>
    <w:rsid w:val="00C93E33"/>
    <w:rsid w:val="00C94460"/>
    <w:rsid w:val="00C953CA"/>
    <w:rsid w:val="00C958D9"/>
    <w:rsid w:val="00C95D3C"/>
    <w:rsid w:val="00C95F3C"/>
    <w:rsid w:val="00C96954"/>
    <w:rsid w:val="00C969DF"/>
    <w:rsid w:val="00C9717E"/>
    <w:rsid w:val="00C97262"/>
    <w:rsid w:val="00C97353"/>
    <w:rsid w:val="00C9758A"/>
    <w:rsid w:val="00CA0B0E"/>
    <w:rsid w:val="00CA1812"/>
    <w:rsid w:val="00CA193C"/>
    <w:rsid w:val="00CA1BFD"/>
    <w:rsid w:val="00CA1D7B"/>
    <w:rsid w:val="00CA277C"/>
    <w:rsid w:val="00CA27DE"/>
    <w:rsid w:val="00CA2D4D"/>
    <w:rsid w:val="00CA355B"/>
    <w:rsid w:val="00CA365B"/>
    <w:rsid w:val="00CA3798"/>
    <w:rsid w:val="00CA385D"/>
    <w:rsid w:val="00CA3A71"/>
    <w:rsid w:val="00CA3C19"/>
    <w:rsid w:val="00CA43FB"/>
    <w:rsid w:val="00CA68BD"/>
    <w:rsid w:val="00CA693E"/>
    <w:rsid w:val="00CA7044"/>
    <w:rsid w:val="00CA7328"/>
    <w:rsid w:val="00CA7847"/>
    <w:rsid w:val="00CA79D4"/>
    <w:rsid w:val="00CA7D95"/>
    <w:rsid w:val="00CB07D0"/>
    <w:rsid w:val="00CB0995"/>
    <w:rsid w:val="00CB0E95"/>
    <w:rsid w:val="00CB106D"/>
    <w:rsid w:val="00CB132F"/>
    <w:rsid w:val="00CB16A6"/>
    <w:rsid w:val="00CB180E"/>
    <w:rsid w:val="00CB27FF"/>
    <w:rsid w:val="00CB30C8"/>
    <w:rsid w:val="00CB362F"/>
    <w:rsid w:val="00CB3ADE"/>
    <w:rsid w:val="00CB3D31"/>
    <w:rsid w:val="00CB414A"/>
    <w:rsid w:val="00CB4D30"/>
    <w:rsid w:val="00CB540F"/>
    <w:rsid w:val="00CB5706"/>
    <w:rsid w:val="00CB5BE7"/>
    <w:rsid w:val="00CB665C"/>
    <w:rsid w:val="00CB6CA4"/>
    <w:rsid w:val="00CB6D52"/>
    <w:rsid w:val="00CB7051"/>
    <w:rsid w:val="00CB7284"/>
    <w:rsid w:val="00CB73C0"/>
    <w:rsid w:val="00CB7F60"/>
    <w:rsid w:val="00CC0B0D"/>
    <w:rsid w:val="00CC0CBF"/>
    <w:rsid w:val="00CC1043"/>
    <w:rsid w:val="00CC14CC"/>
    <w:rsid w:val="00CC15A7"/>
    <w:rsid w:val="00CC1959"/>
    <w:rsid w:val="00CC1CA8"/>
    <w:rsid w:val="00CC1E6C"/>
    <w:rsid w:val="00CC2591"/>
    <w:rsid w:val="00CC2A14"/>
    <w:rsid w:val="00CC2FEE"/>
    <w:rsid w:val="00CC3FAE"/>
    <w:rsid w:val="00CC4205"/>
    <w:rsid w:val="00CC4344"/>
    <w:rsid w:val="00CC43A0"/>
    <w:rsid w:val="00CC48E6"/>
    <w:rsid w:val="00CC4ABE"/>
    <w:rsid w:val="00CC4D8E"/>
    <w:rsid w:val="00CC500C"/>
    <w:rsid w:val="00CC5047"/>
    <w:rsid w:val="00CC54C7"/>
    <w:rsid w:val="00CC58AA"/>
    <w:rsid w:val="00CC59CD"/>
    <w:rsid w:val="00CC5FDE"/>
    <w:rsid w:val="00CC6579"/>
    <w:rsid w:val="00CC6936"/>
    <w:rsid w:val="00CC7A99"/>
    <w:rsid w:val="00CC7D55"/>
    <w:rsid w:val="00CD0C7C"/>
    <w:rsid w:val="00CD196F"/>
    <w:rsid w:val="00CD27BD"/>
    <w:rsid w:val="00CD2ED0"/>
    <w:rsid w:val="00CD3A6F"/>
    <w:rsid w:val="00CD3C30"/>
    <w:rsid w:val="00CD3CB2"/>
    <w:rsid w:val="00CD40A2"/>
    <w:rsid w:val="00CD419A"/>
    <w:rsid w:val="00CD44BE"/>
    <w:rsid w:val="00CD4DF4"/>
    <w:rsid w:val="00CD4E4B"/>
    <w:rsid w:val="00CD5448"/>
    <w:rsid w:val="00CD55C6"/>
    <w:rsid w:val="00CD6D4F"/>
    <w:rsid w:val="00CD6F24"/>
    <w:rsid w:val="00CD76F6"/>
    <w:rsid w:val="00CD7D29"/>
    <w:rsid w:val="00CE018A"/>
    <w:rsid w:val="00CE1B2A"/>
    <w:rsid w:val="00CE267C"/>
    <w:rsid w:val="00CE2A08"/>
    <w:rsid w:val="00CE452C"/>
    <w:rsid w:val="00CE4854"/>
    <w:rsid w:val="00CE53B4"/>
    <w:rsid w:val="00CE63F7"/>
    <w:rsid w:val="00CE6432"/>
    <w:rsid w:val="00CE6688"/>
    <w:rsid w:val="00CE6BF8"/>
    <w:rsid w:val="00CE7943"/>
    <w:rsid w:val="00CF029F"/>
    <w:rsid w:val="00CF08BC"/>
    <w:rsid w:val="00CF093D"/>
    <w:rsid w:val="00CF0C44"/>
    <w:rsid w:val="00CF0F6B"/>
    <w:rsid w:val="00CF21BD"/>
    <w:rsid w:val="00CF319F"/>
    <w:rsid w:val="00CF32E0"/>
    <w:rsid w:val="00CF37AD"/>
    <w:rsid w:val="00CF38F6"/>
    <w:rsid w:val="00CF3C53"/>
    <w:rsid w:val="00CF4371"/>
    <w:rsid w:val="00CF4483"/>
    <w:rsid w:val="00CF4E3E"/>
    <w:rsid w:val="00CF4E87"/>
    <w:rsid w:val="00CF4FA1"/>
    <w:rsid w:val="00CF61D2"/>
    <w:rsid w:val="00CF6C62"/>
    <w:rsid w:val="00CF6C8A"/>
    <w:rsid w:val="00CF7C75"/>
    <w:rsid w:val="00D00B99"/>
    <w:rsid w:val="00D02596"/>
    <w:rsid w:val="00D02C15"/>
    <w:rsid w:val="00D03BED"/>
    <w:rsid w:val="00D03DAD"/>
    <w:rsid w:val="00D0408C"/>
    <w:rsid w:val="00D0496F"/>
    <w:rsid w:val="00D0509E"/>
    <w:rsid w:val="00D0524F"/>
    <w:rsid w:val="00D056DD"/>
    <w:rsid w:val="00D06392"/>
    <w:rsid w:val="00D069C6"/>
    <w:rsid w:val="00D077E5"/>
    <w:rsid w:val="00D07A71"/>
    <w:rsid w:val="00D07AC9"/>
    <w:rsid w:val="00D10095"/>
    <w:rsid w:val="00D1036F"/>
    <w:rsid w:val="00D11EF9"/>
    <w:rsid w:val="00D12958"/>
    <w:rsid w:val="00D12F98"/>
    <w:rsid w:val="00D12FA0"/>
    <w:rsid w:val="00D131DB"/>
    <w:rsid w:val="00D1345B"/>
    <w:rsid w:val="00D13617"/>
    <w:rsid w:val="00D149DC"/>
    <w:rsid w:val="00D1501D"/>
    <w:rsid w:val="00D152BD"/>
    <w:rsid w:val="00D15936"/>
    <w:rsid w:val="00D160D4"/>
    <w:rsid w:val="00D16471"/>
    <w:rsid w:val="00D16C5A"/>
    <w:rsid w:val="00D16FE0"/>
    <w:rsid w:val="00D171A0"/>
    <w:rsid w:val="00D171E7"/>
    <w:rsid w:val="00D1751D"/>
    <w:rsid w:val="00D1787D"/>
    <w:rsid w:val="00D178CF"/>
    <w:rsid w:val="00D17BF5"/>
    <w:rsid w:val="00D17F13"/>
    <w:rsid w:val="00D20233"/>
    <w:rsid w:val="00D203AF"/>
    <w:rsid w:val="00D20720"/>
    <w:rsid w:val="00D216F5"/>
    <w:rsid w:val="00D21F2B"/>
    <w:rsid w:val="00D22613"/>
    <w:rsid w:val="00D22C9B"/>
    <w:rsid w:val="00D23416"/>
    <w:rsid w:val="00D234FE"/>
    <w:rsid w:val="00D23973"/>
    <w:rsid w:val="00D23A03"/>
    <w:rsid w:val="00D24DEC"/>
    <w:rsid w:val="00D2570B"/>
    <w:rsid w:val="00D25F85"/>
    <w:rsid w:val="00D26136"/>
    <w:rsid w:val="00D2695E"/>
    <w:rsid w:val="00D26FE3"/>
    <w:rsid w:val="00D27139"/>
    <w:rsid w:val="00D27717"/>
    <w:rsid w:val="00D302D8"/>
    <w:rsid w:val="00D303E5"/>
    <w:rsid w:val="00D30B4E"/>
    <w:rsid w:val="00D315AD"/>
    <w:rsid w:val="00D319C4"/>
    <w:rsid w:val="00D328C4"/>
    <w:rsid w:val="00D32C55"/>
    <w:rsid w:val="00D32E2B"/>
    <w:rsid w:val="00D332D0"/>
    <w:rsid w:val="00D3391B"/>
    <w:rsid w:val="00D33986"/>
    <w:rsid w:val="00D33B93"/>
    <w:rsid w:val="00D33E39"/>
    <w:rsid w:val="00D3468A"/>
    <w:rsid w:val="00D34753"/>
    <w:rsid w:val="00D3509C"/>
    <w:rsid w:val="00D353AA"/>
    <w:rsid w:val="00D355C5"/>
    <w:rsid w:val="00D355E6"/>
    <w:rsid w:val="00D35F7C"/>
    <w:rsid w:val="00D36B03"/>
    <w:rsid w:val="00D36D85"/>
    <w:rsid w:val="00D37D76"/>
    <w:rsid w:val="00D40439"/>
    <w:rsid w:val="00D40CE8"/>
    <w:rsid w:val="00D40E3D"/>
    <w:rsid w:val="00D41C6F"/>
    <w:rsid w:val="00D427D9"/>
    <w:rsid w:val="00D434FC"/>
    <w:rsid w:val="00D43936"/>
    <w:rsid w:val="00D43C4B"/>
    <w:rsid w:val="00D445D3"/>
    <w:rsid w:val="00D459EE"/>
    <w:rsid w:val="00D465BF"/>
    <w:rsid w:val="00D4671B"/>
    <w:rsid w:val="00D46E34"/>
    <w:rsid w:val="00D478E8"/>
    <w:rsid w:val="00D47CC8"/>
    <w:rsid w:val="00D47D4D"/>
    <w:rsid w:val="00D47E2F"/>
    <w:rsid w:val="00D50898"/>
    <w:rsid w:val="00D51981"/>
    <w:rsid w:val="00D521FA"/>
    <w:rsid w:val="00D521FB"/>
    <w:rsid w:val="00D5288F"/>
    <w:rsid w:val="00D534F5"/>
    <w:rsid w:val="00D53733"/>
    <w:rsid w:val="00D540A5"/>
    <w:rsid w:val="00D54F8E"/>
    <w:rsid w:val="00D55205"/>
    <w:rsid w:val="00D5531C"/>
    <w:rsid w:val="00D5557E"/>
    <w:rsid w:val="00D5579E"/>
    <w:rsid w:val="00D55920"/>
    <w:rsid w:val="00D56636"/>
    <w:rsid w:val="00D5684B"/>
    <w:rsid w:val="00D569DE"/>
    <w:rsid w:val="00D56B7A"/>
    <w:rsid w:val="00D56EB2"/>
    <w:rsid w:val="00D579E2"/>
    <w:rsid w:val="00D57BAC"/>
    <w:rsid w:val="00D60067"/>
    <w:rsid w:val="00D609B1"/>
    <w:rsid w:val="00D60C06"/>
    <w:rsid w:val="00D615B0"/>
    <w:rsid w:val="00D61685"/>
    <w:rsid w:val="00D61C16"/>
    <w:rsid w:val="00D61CC3"/>
    <w:rsid w:val="00D61CD3"/>
    <w:rsid w:val="00D621F9"/>
    <w:rsid w:val="00D62734"/>
    <w:rsid w:val="00D63175"/>
    <w:rsid w:val="00D633AD"/>
    <w:rsid w:val="00D63653"/>
    <w:rsid w:val="00D63DE5"/>
    <w:rsid w:val="00D63DF5"/>
    <w:rsid w:val="00D63F24"/>
    <w:rsid w:val="00D64198"/>
    <w:rsid w:val="00D64B2C"/>
    <w:rsid w:val="00D65446"/>
    <w:rsid w:val="00D65F86"/>
    <w:rsid w:val="00D661A3"/>
    <w:rsid w:val="00D669F0"/>
    <w:rsid w:val="00D66BA2"/>
    <w:rsid w:val="00D67A5A"/>
    <w:rsid w:val="00D70807"/>
    <w:rsid w:val="00D70B95"/>
    <w:rsid w:val="00D71029"/>
    <w:rsid w:val="00D710C1"/>
    <w:rsid w:val="00D71371"/>
    <w:rsid w:val="00D71834"/>
    <w:rsid w:val="00D718FE"/>
    <w:rsid w:val="00D72683"/>
    <w:rsid w:val="00D726F2"/>
    <w:rsid w:val="00D72944"/>
    <w:rsid w:val="00D72B87"/>
    <w:rsid w:val="00D7311A"/>
    <w:rsid w:val="00D7333E"/>
    <w:rsid w:val="00D73A9F"/>
    <w:rsid w:val="00D73C5C"/>
    <w:rsid w:val="00D73E82"/>
    <w:rsid w:val="00D73F8A"/>
    <w:rsid w:val="00D73FD7"/>
    <w:rsid w:val="00D746E0"/>
    <w:rsid w:val="00D747A0"/>
    <w:rsid w:val="00D747BC"/>
    <w:rsid w:val="00D74949"/>
    <w:rsid w:val="00D74EF5"/>
    <w:rsid w:val="00D75104"/>
    <w:rsid w:val="00D753A3"/>
    <w:rsid w:val="00D75D5B"/>
    <w:rsid w:val="00D76051"/>
    <w:rsid w:val="00D76182"/>
    <w:rsid w:val="00D76B3D"/>
    <w:rsid w:val="00D77521"/>
    <w:rsid w:val="00D77A76"/>
    <w:rsid w:val="00D77A8A"/>
    <w:rsid w:val="00D77BBF"/>
    <w:rsid w:val="00D800AA"/>
    <w:rsid w:val="00D80690"/>
    <w:rsid w:val="00D80CD2"/>
    <w:rsid w:val="00D80CF9"/>
    <w:rsid w:val="00D80FC0"/>
    <w:rsid w:val="00D810EB"/>
    <w:rsid w:val="00D81920"/>
    <w:rsid w:val="00D81FCD"/>
    <w:rsid w:val="00D82054"/>
    <w:rsid w:val="00D822D9"/>
    <w:rsid w:val="00D82E1E"/>
    <w:rsid w:val="00D832A9"/>
    <w:rsid w:val="00D836B0"/>
    <w:rsid w:val="00D83FB1"/>
    <w:rsid w:val="00D84059"/>
    <w:rsid w:val="00D843B6"/>
    <w:rsid w:val="00D844CD"/>
    <w:rsid w:val="00D8483B"/>
    <w:rsid w:val="00D84A1E"/>
    <w:rsid w:val="00D856A5"/>
    <w:rsid w:val="00D85B3C"/>
    <w:rsid w:val="00D85C8A"/>
    <w:rsid w:val="00D86452"/>
    <w:rsid w:val="00D86B1A"/>
    <w:rsid w:val="00D86B46"/>
    <w:rsid w:val="00D86D02"/>
    <w:rsid w:val="00D87029"/>
    <w:rsid w:val="00D87474"/>
    <w:rsid w:val="00D90928"/>
    <w:rsid w:val="00D90A17"/>
    <w:rsid w:val="00D90B84"/>
    <w:rsid w:val="00D90DC7"/>
    <w:rsid w:val="00D91B82"/>
    <w:rsid w:val="00D91D56"/>
    <w:rsid w:val="00D91EA0"/>
    <w:rsid w:val="00D92A5F"/>
    <w:rsid w:val="00D92E20"/>
    <w:rsid w:val="00D9339E"/>
    <w:rsid w:val="00D94E59"/>
    <w:rsid w:val="00D951C6"/>
    <w:rsid w:val="00D957A3"/>
    <w:rsid w:val="00D960C4"/>
    <w:rsid w:val="00D9663D"/>
    <w:rsid w:val="00D969FF"/>
    <w:rsid w:val="00D96ECE"/>
    <w:rsid w:val="00D97886"/>
    <w:rsid w:val="00D97C55"/>
    <w:rsid w:val="00DA0A96"/>
    <w:rsid w:val="00DA0C81"/>
    <w:rsid w:val="00DA0D06"/>
    <w:rsid w:val="00DA0F0E"/>
    <w:rsid w:val="00DA1187"/>
    <w:rsid w:val="00DA1766"/>
    <w:rsid w:val="00DA1937"/>
    <w:rsid w:val="00DA25A2"/>
    <w:rsid w:val="00DA28C5"/>
    <w:rsid w:val="00DA3DB9"/>
    <w:rsid w:val="00DA4349"/>
    <w:rsid w:val="00DA47C3"/>
    <w:rsid w:val="00DA4A32"/>
    <w:rsid w:val="00DA6700"/>
    <w:rsid w:val="00DA68AE"/>
    <w:rsid w:val="00DA740D"/>
    <w:rsid w:val="00DA75A8"/>
    <w:rsid w:val="00DA7C66"/>
    <w:rsid w:val="00DA7DA4"/>
    <w:rsid w:val="00DB043C"/>
    <w:rsid w:val="00DB0D1F"/>
    <w:rsid w:val="00DB102C"/>
    <w:rsid w:val="00DB1502"/>
    <w:rsid w:val="00DB1FDC"/>
    <w:rsid w:val="00DB2125"/>
    <w:rsid w:val="00DB214E"/>
    <w:rsid w:val="00DB24CD"/>
    <w:rsid w:val="00DB2556"/>
    <w:rsid w:val="00DB2A1A"/>
    <w:rsid w:val="00DB36D6"/>
    <w:rsid w:val="00DB3716"/>
    <w:rsid w:val="00DB3FDE"/>
    <w:rsid w:val="00DB40CC"/>
    <w:rsid w:val="00DB42DA"/>
    <w:rsid w:val="00DB4AC6"/>
    <w:rsid w:val="00DB4ADA"/>
    <w:rsid w:val="00DB4BFB"/>
    <w:rsid w:val="00DB54EF"/>
    <w:rsid w:val="00DB5732"/>
    <w:rsid w:val="00DB59B4"/>
    <w:rsid w:val="00DB6608"/>
    <w:rsid w:val="00DB6B58"/>
    <w:rsid w:val="00DB7456"/>
    <w:rsid w:val="00DB74BD"/>
    <w:rsid w:val="00DB7916"/>
    <w:rsid w:val="00DB7BA7"/>
    <w:rsid w:val="00DB7F6E"/>
    <w:rsid w:val="00DC0C50"/>
    <w:rsid w:val="00DC11BF"/>
    <w:rsid w:val="00DC1A64"/>
    <w:rsid w:val="00DC1BE5"/>
    <w:rsid w:val="00DC1D11"/>
    <w:rsid w:val="00DC1D13"/>
    <w:rsid w:val="00DC2002"/>
    <w:rsid w:val="00DC35B4"/>
    <w:rsid w:val="00DC374C"/>
    <w:rsid w:val="00DC3B5C"/>
    <w:rsid w:val="00DC3BFC"/>
    <w:rsid w:val="00DC4D87"/>
    <w:rsid w:val="00DC5605"/>
    <w:rsid w:val="00DC5A0D"/>
    <w:rsid w:val="00DC5E68"/>
    <w:rsid w:val="00DC65CA"/>
    <w:rsid w:val="00DC6E9F"/>
    <w:rsid w:val="00DC7078"/>
    <w:rsid w:val="00DC7440"/>
    <w:rsid w:val="00DD0475"/>
    <w:rsid w:val="00DD08CE"/>
    <w:rsid w:val="00DD0B97"/>
    <w:rsid w:val="00DD0E6C"/>
    <w:rsid w:val="00DD0EEB"/>
    <w:rsid w:val="00DD1000"/>
    <w:rsid w:val="00DD1080"/>
    <w:rsid w:val="00DD157A"/>
    <w:rsid w:val="00DD17DD"/>
    <w:rsid w:val="00DD2038"/>
    <w:rsid w:val="00DD22D5"/>
    <w:rsid w:val="00DD23AC"/>
    <w:rsid w:val="00DD260C"/>
    <w:rsid w:val="00DD2C4A"/>
    <w:rsid w:val="00DD35D7"/>
    <w:rsid w:val="00DD44B9"/>
    <w:rsid w:val="00DD4818"/>
    <w:rsid w:val="00DD4E48"/>
    <w:rsid w:val="00DD5583"/>
    <w:rsid w:val="00DD5B64"/>
    <w:rsid w:val="00DD5EF0"/>
    <w:rsid w:val="00DD67A0"/>
    <w:rsid w:val="00DD6D18"/>
    <w:rsid w:val="00DD7622"/>
    <w:rsid w:val="00DD7B3E"/>
    <w:rsid w:val="00DE047B"/>
    <w:rsid w:val="00DE11DF"/>
    <w:rsid w:val="00DE15D1"/>
    <w:rsid w:val="00DE17C7"/>
    <w:rsid w:val="00DE1B36"/>
    <w:rsid w:val="00DE2EC8"/>
    <w:rsid w:val="00DE2F3A"/>
    <w:rsid w:val="00DE4819"/>
    <w:rsid w:val="00DE48C5"/>
    <w:rsid w:val="00DE52E5"/>
    <w:rsid w:val="00DE639C"/>
    <w:rsid w:val="00DE7DDC"/>
    <w:rsid w:val="00DF002B"/>
    <w:rsid w:val="00DF05B1"/>
    <w:rsid w:val="00DF05EF"/>
    <w:rsid w:val="00DF0AC2"/>
    <w:rsid w:val="00DF0C61"/>
    <w:rsid w:val="00DF0FB4"/>
    <w:rsid w:val="00DF1054"/>
    <w:rsid w:val="00DF135A"/>
    <w:rsid w:val="00DF141D"/>
    <w:rsid w:val="00DF1B5E"/>
    <w:rsid w:val="00DF1BF9"/>
    <w:rsid w:val="00DF1D8B"/>
    <w:rsid w:val="00DF1F84"/>
    <w:rsid w:val="00DF1FE1"/>
    <w:rsid w:val="00DF22B5"/>
    <w:rsid w:val="00DF2405"/>
    <w:rsid w:val="00DF26B1"/>
    <w:rsid w:val="00DF2926"/>
    <w:rsid w:val="00DF2B4D"/>
    <w:rsid w:val="00DF2B83"/>
    <w:rsid w:val="00DF2B8B"/>
    <w:rsid w:val="00DF3233"/>
    <w:rsid w:val="00DF3B9B"/>
    <w:rsid w:val="00DF4885"/>
    <w:rsid w:val="00DF507E"/>
    <w:rsid w:val="00DF6207"/>
    <w:rsid w:val="00DF69A8"/>
    <w:rsid w:val="00DF7983"/>
    <w:rsid w:val="00E00161"/>
    <w:rsid w:val="00E00266"/>
    <w:rsid w:val="00E007B3"/>
    <w:rsid w:val="00E00A24"/>
    <w:rsid w:val="00E00BB1"/>
    <w:rsid w:val="00E0178C"/>
    <w:rsid w:val="00E01968"/>
    <w:rsid w:val="00E01DC8"/>
    <w:rsid w:val="00E025A3"/>
    <w:rsid w:val="00E02BC0"/>
    <w:rsid w:val="00E0348E"/>
    <w:rsid w:val="00E03F88"/>
    <w:rsid w:val="00E041E4"/>
    <w:rsid w:val="00E04A58"/>
    <w:rsid w:val="00E0605C"/>
    <w:rsid w:val="00E06285"/>
    <w:rsid w:val="00E0640B"/>
    <w:rsid w:val="00E06758"/>
    <w:rsid w:val="00E06A18"/>
    <w:rsid w:val="00E07C9E"/>
    <w:rsid w:val="00E1016A"/>
    <w:rsid w:val="00E10D2D"/>
    <w:rsid w:val="00E11364"/>
    <w:rsid w:val="00E11BF1"/>
    <w:rsid w:val="00E12F41"/>
    <w:rsid w:val="00E131EF"/>
    <w:rsid w:val="00E13527"/>
    <w:rsid w:val="00E1500C"/>
    <w:rsid w:val="00E15582"/>
    <w:rsid w:val="00E15749"/>
    <w:rsid w:val="00E164E9"/>
    <w:rsid w:val="00E1663B"/>
    <w:rsid w:val="00E16B9F"/>
    <w:rsid w:val="00E17211"/>
    <w:rsid w:val="00E20252"/>
    <w:rsid w:val="00E20301"/>
    <w:rsid w:val="00E2093F"/>
    <w:rsid w:val="00E213D6"/>
    <w:rsid w:val="00E22E28"/>
    <w:rsid w:val="00E2362A"/>
    <w:rsid w:val="00E23E19"/>
    <w:rsid w:val="00E23F09"/>
    <w:rsid w:val="00E24438"/>
    <w:rsid w:val="00E246A2"/>
    <w:rsid w:val="00E24969"/>
    <w:rsid w:val="00E25135"/>
    <w:rsid w:val="00E25341"/>
    <w:rsid w:val="00E25D1A"/>
    <w:rsid w:val="00E25DEE"/>
    <w:rsid w:val="00E26592"/>
    <w:rsid w:val="00E269F0"/>
    <w:rsid w:val="00E271E7"/>
    <w:rsid w:val="00E27BC6"/>
    <w:rsid w:val="00E27BF9"/>
    <w:rsid w:val="00E300B5"/>
    <w:rsid w:val="00E300E2"/>
    <w:rsid w:val="00E318BA"/>
    <w:rsid w:val="00E31A82"/>
    <w:rsid w:val="00E31CC9"/>
    <w:rsid w:val="00E32636"/>
    <w:rsid w:val="00E32736"/>
    <w:rsid w:val="00E32760"/>
    <w:rsid w:val="00E32B93"/>
    <w:rsid w:val="00E33266"/>
    <w:rsid w:val="00E334AF"/>
    <w:rsid w:val="00E33DA6"/>
    <w:rsid w:val="00E3422C"/>
    <w:rsid w:val="00E34405"/>
    <w:rsid w:val="00E34C53"/>
    <w:rsid w:val="00E34F79"/>
    <w:rsid w:val="00E3510A"/>
    <w:rsid w:val="00E35114"/>
    <w:rsid w:val="00E353F2"/>
    <w:rsid w:val="00E358C0"/>
    <w:rsid w:val="00E358EA"/>
    <w:rsid w:val="00E35B03"/>
    <w:rsid w:val="00E36C8A"/>
    <w:rsid w:val="00E379CA"/>
    <w:rsid w:val="00E37B89"/>
    <w:rsid w:val="00E405B2"/>
    <w:rsid w:val="00E40910"/>
    <w:rsid w:val="00E40AE2"/>
    <w:rsid w:val="00E40B36"/>
    <w:rsid w:val="00E40BD7"/>
    <w:rsid w:val="00E40C9F"/>
    <w:rsid w:val="00E411C3"/>
    <w:rsid w:val="00E41252"/>
    <w:rsid w:val="00E42641"/>
    <w:rsid w:val="00E427B6"/>
    <w:rsid w:val="00E42F79"/>
    <w:rsid w:val="00E43A2D"/>
    <w:rsid w:val="00E448ED"/>
    <w:rsid w:val="00E44ABD"/>
    <w:rsid w:val="00E44E60"/>
    <w:rsid w:val="00E44FE5"/>
    <w:rsid w:val="00E460B7"/>
    <w:rsid w:val="00E460FC"/>
    <w:rsid w:val="00E4651E"/>
    <w:rsid w:val="00E4758E"/>
    <w:rsid w:val="00E4789C"/>
    <w:rsid w:val="00E504AA"/>
    <w:rsid w:val="00E505B8"/>
    <w:rsid w:val="00E512BB"/>
    <w:rsid w:val="00E5174B"/>
    <w:rsid w:val="00E51BD7"/>
    <w:rsid w:val="00E52214"/>
    <w:rsid w:val="00E524AC"/>
    <w:rsid w:val="00E52525"/>
    <w:rsid w:val="00E5266A"/>
    <w:rsid w:val="00E52A77"/>
    <w:rsid w:val="00E533D2"/>
    <w:rsid w:val="00E5345E"/>
    <w:rsid w:val="00E53489"/>
    <w:rsid w:val="00E536B8"/>
    <w:rsid w:val="00E53C64"/>
    <w:rsid w:val="00E53CCB"/>
    <w:rsid w:val="00E541ED"/>
    <w:rsid w:val="00E543E8"/>
    <w:rsid w:val="00E544AF"/>
    <w:rsid w:val="00E54597"/>
    <w:rsid w:val="00E54F2F"/>
    <w:rsid w:val="00E54F4D"/>
    <w:rsid w:val="00E551FC"/>
    <w:rsid w:val="00E55A38"/>
    <w:rsid w:val="00E55C14"/>
    <w:rsid w:val="00E56261"/>
    <w:rsid w:val="00E56FAC"/>
    <w:rsid w:val="00E5791E"/>
    <w:rsid w:val="00E57D0B"/>
    <w:rsid w:val="00E605C4"/>
    <w:rsid w:val="00E60B3D"/>
    <w:rsid w:val="00E60B99"/>
    <w:rsid w:val="00E61103"/>
    <w:rsid w:val="00E614CD"/>
    <w:rsid w:val="00E617AA"/>
    <w:rsid w:val="00E61A05"/>
    <w:rsid w:val="00E61A6C"/>
    <w:rsid w:val="00E6221B"/>
    <w:rsid w:val="00E62B3D"/>
    <w:rsid w:val="00E63386"/>
    <w:rsid w:val="00E63509"/>
    <w:rsid w:val="00E63586"/>
    <w:rsid w:val="00E63CCD"/>
    <w:rsid w:val="00E63D25"/>
    <w:rsid w:val="00E642C1"/>
    <w:rsid w:val="00E645E6"/>
    <w:rsid w:val="00E64E6C"/>
    <w:rsid w:val="00E6568E"/>
    <w:rsid w:val="00E701B9"/>
    <w:rsid w:val="00E70353"/>
    <w:rsid w:val="00E706C1"/>
    <w:rsid w:val="00E70C8E"/>
    <w:rsid w:val="00E70F83"/>
    <w:rsid w:val="00E71D2A"/>
    <w:rsid w:val="00E71D44"/>
    <w:rsid w:val="00E72169"/>
    <w:rsid w:val="00E727BA"/>
    <w:rsid w:val="00E72C6F"/>
    <w:rsid w:val="00E72F81"/>
    <w:rsid w:val="00E72FA6"/>
    <w:rsid w:val="00E733EA"/>
    <w:rsid w:val="00E7376C"/>
    <w:rsid w:val="00E73B53"/>
    <w:rsid w:val="00E73BA5"/>
    <w:rsid w:val="00E73E42"/>
    <w:rsid w:val="00E740CD"/>
    <w:rsid w:val="00E748AB"/>
    <w:rsid w:val="00E752AC"/>
    <w:rsid w:val="00E75508"/>
    <w:rsid w:val="00E75A18"/>
    <w:rsid w:val="00E76843"/>
    <w:rsid w:val="00E7712A"/>
    <w:rsid w:val="00E77213"/>
    <w:rsid w:val="00E77276"/>
    <w:rsid w:val="00E77827"/>
    <w:rsid w:val="00E778C7"/>
    <w:rsid w:val="00E80D2E"/>
    <w:rsid w:val="00E81150"/>
    <w:rsid w:val="00E84026"/>
    <w:rsid w:val="00E84305"/>
    <w:rsid w:val="00E85199"/>
    <w:rsid w:val="00E8562A"/>
    <w:rsid w:val="00E8585E"/>
    <w:rsid w:val="00E85D7C"/>
    <w:rsid w:val="00E864FD"/>
    <w:rsid w:val="00E86E79"/>
    <w:rsid w:val="00E87436"/>
    <w:rsid w:val="00E8767A"/>
    <w:rsid w:val="00E87B30"/>
    <w:rsid w:val="00E87D10"/>
    <w:rsid w:val="00E87F71"/>
    <w:rsid w:val="00E90031"/>
    <w:rsid w:val="00E9033F"/>
    <w:rsid w:val="00E9035A"/>
    <w:rsid w:val="00E9057F"/>
    <w:rsid w:val="00E908E2"/>
    <w:rsid w:val="00E90F60"/>
    <w:rsid w:val="00E9111D"/>
    <w:rsid w:val="00E91BA6"/>
    <w:rsid w:val="00E9284A"/>
    <w:rsid w:val="00E928B7"/>
    <w:rsid w:val="00E93568"/>
    <w:rsid w:val="00E937E5"/>
    <w:rsid w:val="00E9389F"/>
    <w:rsid w:val="00E93A50"/>
    <w:rsid w:val="00E949A6"/>
    <w:rsid w:val="00E94C49"/>
    <w:rsid w:val="00E952C5"/>
    <w:rsid w:val="00E95A98"/>
    <w:rsid w:val="00E96997"/>
    <w:rsid w:val="00E97348"/>
    <w:rsid w:val="00E97627"/>
    <w:rsid w:val="00E97D1F"/>
    <w:rsid w:val="00E97DDF"/>
    <w:rsid w:val="00EA0636"/>
    <w:rsid w:val="00EA0DAF"/>
    <w:rsid w:val="00EA12A0"/>
    <w:rsid w:val="00EA1510"/>
    <w:rsid w:val="00EA1A11"/>
    <w:rsid w:val="00EA231D"/>
    <w:rsid w:val="00EA24C2"/>
    <w:rsid w:val="00EA3153"/>
    <w:rsid w:val="00EA35BF"/>
    <w:rsid w:val="00EA3902"/>
    <w:rsid w:val="00EA452B"/>
    <w:rsid w:val="00EA49E3"/>
    <w:rsid w:val="00EA5301"/>
    <w:rsid w:val="00EA5723"/>
    <w:rsid w:val="00EA6145"/>
    <w:rsid w:val="00EA668F"/>
    <w:rsid w:val="00EA6AAF"/>
    <w:rsid w:val="00EA75F5"/>
    <w:rsid w:val="00EA7A9E"/>
    <w:rsid w:val="00EA7E17"/>
    <w:rsid w:val="00EA7FB9"/>
    <w:rsid w:val="00EB0530"/>
    <w:rsid w:val="00EB1F88"/>
    <w:rsid w:val="00EB2130"/>
    <w:rsid w:val="00EB3203"/>
    <w:rsid w:val="00EB331A"/>
    <w:rsid w:val="00EB348D"/>
    <w:rsid w:val="00EB35D3"/>
    <w:rsid w:val="00EB3A18"/>
    <w:rsid w:val="00EB3BD2"/>
    <w:rsid w:val="00EB3E52"/>
    <w:rsid w:val="00EB3F27"/>
    <w:rsid w:val="00EB47B6"/>
    <w:rsid w:val="00EB5067"/>
    <w:rsid w:val="00EB51F0"/>
    <w:rsid w:val="00EB530A"/>
    <w:rsid w:val="00EB5605"/>
    <w:rsid w:val="00EB56DB"/>
    <w:rsid w:val="00EB5C10"/>
    <w:rsid w:val="00EB60F1"/>
    <w:rsid w:val="00EB6262"/>
    <w:rsid w:val="00EB6803"/>
    <w:rsid w:val="00EB6EE5"/>
    <w:rsid w:val="00EB71C3"/>
    <w:rsid w:val="00EB78B7"/>
    <w:rsid w:val="00EC01BF"/>
    <w:rsid w:val="00EC03DF"/>
    <w:rsid w:val="00EC0A71"/>
    <w:rsid w:val="00EC0AFD"/>
    <w:rsid w:val="00EC0DE2"/>
    <w:rsid w:val="00EC1232"/>
    <w:rsid w:val="00EC1549"/>
    <w:rsid w:val="00EC1AC8"/>
    <w:rsid w:val="00EC209B"/>
    <w:rsid w:val="00EC236A"/>
    <w:rsid w:val="00EC2398"/>
    <w:rsid w:val="00EC2721"/>
    <w:rsid w:val="00EC2945"/>
    <w:rsid w:val="00EC2A06"/>
    <w:rsid w:val="00EC2AE3"/>
    <w:rsid w:val="00EC2FBB"/>
    <w:rsid w:val="00EC2FDA"/>
    <w:rsid w:val="00EC4074"/>
    <w:rsid w:val="00EC4AF1"/>
    <w:rsid w:val="00EC4E47"/>
    <w:rsid w:val="00EC4FEE"/>
    <w:rsid w:val="00EC50B7"/>
    <w:rsid w:val="00EC56E9"/>
    <w:rsid w:val="00EC585C"/>
    <w:rsid w:val="00EC5C41"/>
    <w:rsid w:val="00EC723F"/>
    <w:rsid w:val="00EC7688"/>
    <w:rsid w:val="00EC7916"/>
    <w:rsid w:val="00EC79CA"/>
    <w:rsid w:val="00EC7AE2"/>
    <w:rsid w:val="00EC7DFA"/>
    <w:rsid w:val="00ED0ACA"/>
    <w:rsid w:val="00ED0B50"/>
    <w:rsid w:val="00ED1563"/>
    <w:rsid w:val="00ED1798"/>
    <w:rsid w:val="00ED306F"/>
    <w:rsid w:val="00ED3638"/>
    <w:rsid w:val="00ED3790"/>
    <w:rsid w:val="00ED3795"/>
    <w:rsid w:val="00ED3952"/>
    <w:rsid w:val="00ED399B"/>
    <w:rsid w:val="00ED3C7E"/>
    <w:rsid w:val="00ED3D54"/>
    <w:rsid w:val="00ED48B1"/>
    <w:rsid w:val="00ED4BCE"/>
    <w:rsid w:val="00ED4C87"/>
    <w:rsid w:val="00ED4F55"/>
    <w:rsid w:val="00ED57C2"/>
    <w:rsid w:val="00ED5AC5"/>
    <w:rsid w:val="00ED5BAB"/>
    <w:rsid w:val="00ED5C1C"/>
    <w:rsid w:val="00ED62A0"/>
    <w:rsid w:val="00ED6BA4"/>
    <w:rsid w:val="00ED739B"/>
    <w:rsid w:val="00EE11F2"/>
    <w:rsid w:val="00EE158B"/>
    <w:rsid w:val="00EE18FF"/>
    <w:rsid w:val="00EE1C7C"/>
    <w:rsid w:val="00EE23FE"/>
    <w:rsid w:val="00EE243C"/>
    <w:rsid w:val="00EE32FE"/>
    <w:rsid w:val="00EE3886"/>
    <w:rsid w:val="00EE3E5B"/>
    <w:rsid w:val="00EE42D2"/>
    <w:rsid w:val="00EE4BE2"/>
    <w:rsid w:val="00EE5FEE"/>
    <w:rsid w:val="00EE6145"/>
    <w:rsid w:val="00EE63D8"/>
    <w:rsid w:val="00EE64EA"/>
    <w:rsid w:val="00EE6664"/>
    <w:rsid w:val="00EE71FF"/>
    <w:rsid w:val="00EE74DD"/>
    <w:rsid w:val="00EE76D3"/>
    <w:rsid w:val="00EE7F65"/>
    <w:rsid w:val="00EF03A3"/>
    <w:rsid w:val="00EF0A92"/>
    <w:rsid w:val="00EF135E"/>
    <w:rsid w:val="00EF141F"/>
    <w:rsid w:val="00EF1496"/>
    <w:rsid w:val="00EF18E3"/>
    <w:rsid w:val="00EF2813"/>
    <w:rsid w:val="00EF28CE"/>
    <w:rsid w:val="00EF30D4"/>
    <w:rsid w:val="00EF395E"/>
    <w:rsid w:val="00EF46A6"/>
    <w:rsid w:val="00EF4903"/>
    <w:rsid w:val="00EF4958"/>
    <w:rsid w:val="00EF4C01"/>
    <w:rsid w:val="00EF4E0E"/>
    <w:rsid w:val="00EF5060"/>
    <w:rsid w:val="00EF51BE"/>
    <w:rsid w:val="00EF565A"/>
    <w:rsid w:val="00EF5E50"/>
    <w:rsid w:val="00EF5F9C"/>
    <w:rsid w:val="00EF6524"/>
    <w:rsid w:val="00EF677B"/>
    <w:rsid w:val="00EF6804"/>
    <w:rsid w:val="00EF6CB6"/>
    <w:rsid w:val="00EF6D1E"/>
    <w:rsid w:val="00EF6DA5"/>
    <w:rsid w:val="00EF6EFC"/>
    <w:rsid w:val="00EF77DF"/>
    <w:rsid w:val="00F001E5"/>
    <w:rsid w:val="00F0072D"/>
    <w:rsid w:val="00F010BA"/>
    <w:rsid w:val="00F01859"/>
    <w:rsid w:val="00F01F0E"/>
    <w:rsid w:val="00F020C8"/>
    <w:rsid w:val="00F02E36"/>
    <w:rsid w:val="00F03A22"/>
    <w:rsid w:val="00F03D31"/>
    <w:rsid w:val="00F041B7"/>
    <w:rsid w:val="00F059C0"/>
    <w:rsid w:val="00F05AA5"/>
    <w:rsid w:val="00F064A2"/>
    <w:rsid w:val="00F0773B"/>
    <w:rsid w:val="00F07AB3"/>
    <w:rsid w:val="00F07DFB"/>
    <w:rsid w:val="00F10194"/>
    <w:rsid w:val="00F1049B"/>
    <w:rsid w:val="00F11689"/>
    <w:rsid w:val="00F11924"/>
    <w:rsid w:val="00F11B6A"/>
    <w:rsid w:val="00F12A4A"/>
    <w:rsid w:val="00F13425"/>
    <w:rsid w:val="00F13D5E"/>
    <w:rsid w:val="00F1409A"/>
    <w:rsid w:val="00F14420"/>
    <w:rsid w:val="00F1469B"/>
    <w:rsid w:val="00F14A31"/>
    <w:rsid w:val="00F14BEB"/>
    <w:rsid w:val="00F14C91"/>
    <w:rsid w:val="00F155DB"/>
    <w:rsid w:val="00F15AF5"/>
    <w:rsid w:val="00F16D3E"/>
    <w:rsid w:val="00F16D74"/>
    <w:rsid w:val="00F17278"/>
    <w:rsid w:val="00F204E3"/>
    <w:rsid w:val="00F20C03"/>
    <w:rsid w:val="00F2178E"/>
    <w:rsid w:val="00F217D3"/>
    <w:rsid w:val="00F21D17"/>
    <w:rsid w:val="00F221DA"/>
    <w:rsid w:val="00F22272"/>
    <w:rsid w:val="00F224EB"/>
    <w:rsid w:val="00F225A9"/>
    <w:rsid w:val="00F22891"/>
    <w:rsid w:val="00F22C73"/>
    <w:rsid w:val="00F2334A"/>
    <w:rsid w:val="00F23C53"/>
    <w:rsid w:val="00F24B59"/>
    <w:rsid w:val="00F24C0A"/>
    <w:rsid w:val="00F25579"/>
    <w:rsid w:val="00F26891"/>
    <w:rsid w:val="00F26B51"/>
    <w:rsid w:val="00F27272"/>
    <w:rsid w:val="00F27AD2"/>
    <w:rsid w:val="00F302D9"/>
    <w:rsid w:val="00F3030D"/>
    <w:rsid w:val="00F304C7"/>
    <w:rsid w:val="00F307B1"/>
    <w:rsid w:val="00F30E6A"/>
    <w:rsid w:val="00F30EBF"/>
    <w:rsid w:val="00F30FC3"/>
    <w:rsid w:val="00F317D2"/>
    <w:rsid w:val="00F32200"/>
    <w:rsid w:val="00F322DB"/>
    <w:rsid w:val="00F32B59"/>
    <w:rsid w:val="00F32E5C"/>
    <w:rsid w:val="00F3409A"/>
    <w:rsid w:val="00F34AA0"/>
    <w:rsid w:val="00F3515E"/>
    <w:rsid w:val="00F35952"/>
    <w:rsid w:val="00F35A88"/>
    <w:rsid w:val="00F35E99"/>
    <w:rsid w:val="00F35F02"/>
    <w:rsid w:val="00F36221"/>
    <w:rsid w:val="00F36788"/>
    <w:rsid w:val="00F36840"/>
    <w:rsid w:val="00F36872"/>
    <w:rsid w:val="00F372D8"/>
    <w:rsid w:val="00F37A2F"/>
    <w:rsid w:val="00F37C6C"/>
    <w:rsid w:val="00F40E6C"/>
    <w:rsid w:val="00F423D8"/>
    <w:rsid w:val="00F426F8"/>
    <w:rsid w:val="00F42E7E"/>
    <w:rsid w:val="00F4357F"/>
    <w:rsid w:val="00F437B5"/>
    <w:rsid w:val="00F43E3D"/>
    <w:rsid w:val="00F4403A"/>
    <w:rsid w:val="00F445BB"/>
    <w:rsid w:val="00F45083"/>
    <w:rsid w:val="00F455AD"/>
    <w:rsid w:val="00F4576D"/>
    <w:rsid w:val="00F458FB"/>
    <w:rsid w:val="00F45E22"/>
    <w:rsid w:val="00F463D4"/>
    <w:rsid w:val="00F468B2"/>
    <w:rsid w:val="00F46964"/>
    <w:rsid w:val="00F46C8B"/>
    <w:rsid w:val="00F46E17"/>
    <w:rsid w:val="00F46ED3"/>
    <w:rsid w:val="00F46FF8"/>
    <w:rsid w:val="00F47166"/>
    <w:rsid w:val="00F47432"/>
    <w:rsid w:val="00F477B8"/>
    <w:rsid w:val="00F47B57"/>
    <w:rsid w:val="00F47FDE"/>
    <w:rsid w:val="00F50034"/>
    <w:rsid w:val="00F501DC"/>
    <w:rsid w:val="00F504C4"/>
    <w:rsid w:val="00F512E7"/>
    <w:rsid w:val="00F51D45"/>
    <w:rsid w:val="00F5283D"/>
    <w:rsid w:val="00F52A7D"/>
    <w:rsid w:val="00F52E0D"/>
    <w:rsid w:val="00F530B5"/>
    <w:rsid w:val="00F53268"/>
    <w:rsid w:val="00F537C8"/>
    <w:rsid w:val="00F541CB"/>
    <w:rsid w:val="00F55749"/>
    <w:rsid w:val="00F55797"/>
    <w:rsid w:val="00F557B6"/>
    <w:rsid w:val="00F55B40"/>
    <w:rsid w:val="00F55E99"/>
    <w:rsid w:val="00F5673F"/>
    <w:rsid w:val="00F56C78"/>
    <w:rsid w:val="00F56F2D"/>
    <w:rsid w:val="00F57052"/>
    <w:rsid w:val="00F57815"/>
    <w:rsid w:val="00F57ECA"/>
    <w:rsid w:val="00F6163A"/>
    <w:rsid w:val="00F63054"/>
    <w:rsid w:val="00F63948"/>
    <w:rsid w:val="00F65178"/>
    <w:rsid w:val="00F65209"/>
    <w:rsid w:val="00F653D6"/>
    <w:rsid w:val="00F6595D"/>
    <w:rsid w:val="00F66A43"/>
    <w:rsid w:val="00F66CEB"/>
    <w:rsid w:val="00F66F9E"/>
    <w:rsid w:val="00F6756A"/>
    <w:rsid w:val="00F6765B"/>
    <w:rsid w:val="00F67728"/>
    <w:rsid w:val="00F67CF4"/>
    <w:rsid w:val="00F67D49"/>
    <w:rsid w:val="00F70002"/>
    <w:rsid w:val="00F70201"/>
    <w:rsid w:val="00F7024E"/>
    <w:rsid w:val="00F7045C"/>
    <w:rsid w:val="00F7084D"/>
    <w:rsid w:val="00F70BBB"/>
    <w:rsid w:val="00F71792"/>
    <w:rsid w:val="00F7182D"/>
    <w:rsid w:val="00F71CFA"/>
    <w:rsid w:val="00F72640"/>
    <w:rsid w:val="00F72832"/>
    <w:rsid w:val="00F72A3D"/>
    <w:rsid w:val="00F72F80"/>
    <w:rsid w:val="00F73A16"/>
    <w:rsid w:val="00F74588"/>
    <w:rsid w:val="00F74A57"/>
    <w:rsid w:val="00F74B8D"/>
    <w:rsid w:val="00F74E0A"/>
    <w:rsid w:val="00F75D74"/>
    <w:rsid w:val="00F760AA"/>
    <w:rsid w:val="00F760C2"/>
    <w:rsid w:val="00F76DB2"/>
    <w:rsid w:val="00F779D9"/>
    <w:rsid w:val="00F77DB5"/>
    <w:rsid w:val="00F77E92"/>
    <w:rsid w:val="00F801AC"/>
    <w:rsid w:val="00F81784"/>
    <w:rsid w:val="00F819B4"/>
    <w:rsid w:val="00F82260"/>
    <w:rsid w:val="00F824BD"/>
    <w:rsid w:val="00F82B9A"/>
    <w:rsid w:val="00F82E73"/>
    <w:rsid w:val="00F83014"/>
    <w:rsid w:val="00F835A0"/>
    <w:rsid w:val="00F837BD"/>
    <w:rsid w:val="00F839DE"/>
    <w:rsid w:val="00F83C46"/>
    <w:rsid w:val="00F83DC4"/>
    <w:rsid w:val="00F8433D"/>
    <w:rsid w:val="00F84558"/>
    <w:rsid w:val="00F84BFB"/>
    <w:rsid w:val="00F85079"/>
    <w:rsid w:val="00F861C6"/>
    <w:rsid w:val="00F86B05"/>
    <w:rsid w:val="00F87055"/>
    <w:rsid w:val="00F8707E"/>
    <w:rsid w:val="00F903D1"/>
    <w:rsid w:val="00F90517"/>
    <w:rsid w:val="00F91011"/>
    <w:rsid w:val="00F91AD6"/>
    <w:rsid w:val="00F91EAF"/>
    <w:rsid w:val="00F923C9"/>
    <w:rsid w:val="00F932E8"/>
    <w:rsid w:val="00F93367"/>
    <w:rsid w:val="00F9352D"/>
    <w:rsid w:val="00F93889"/>
    <w:rsid w:val="00F940B0"/>
    <w:rsid w:val="00F941B0"/>
    <w:rsid w:val="00F944DA"/>
    <w:rsid w:val="00F94B37"/>
    <w:rsid w:val="00F95028"/>
    <w:rsid w:val="00F963BD"/>
    <w:rsid w:val="00F96711"/>
    <w:rsid w:val="00F967F5"/>
    <w:rsid w:val="00F96A7A"/>
    <w:rsid w:val="00F96DAF"/>
    <w:rsid w:val="00F97E03"/>
    <w:rsid w:val="00FA08FE"/>
    <w:rsid w:val="00FA0AD2"/>
    <w:rsid w:val="00FA1154"/>
    <w:rsid w:val="00FA13B0"/>
    <w:rsid w:val="00FA1944"/>
    <w:rsid w:val="00FA19E1"/>
    <w:rsid w:val="00FA1A46"/>
    <w:rsid w:val="00FA1DEA"/>
    <w:rsid w:val="00FA1E34"/>
    <w:rsid w:val="00FA2DBC"/>
    <w:rsid w:val="00FA2EF0"/>
    <w:rsid w:val="00FA32A9"/>
    <w:rsid w:val="00FA3487"/>
    <w:rsid w:val="00FA3511"/>
    <w:rsid w:val="00FA4133"/>
    <w:rsid w:val="00FA4DE8"/>
    <w:rsid w:val="00FA563B"/>
    <w:rsid w:val="00FA5817"/>
    <w:rsid w:val="00FA5887"/>
    <w:rsid w:val="00FA6194"/>
    <w:rsid w:val="00FA619A"/>
    <w:rsid w:val="00FA62DE"/>
    <w:rsid w:val="00FA6686"/>
    <w:rsid w:val="00FA6D7A"/>
    <w:rsid w:val="00FA7005"/>
    <w:rsid w:val="00FB022A"/>
    <w:rsid w:val="00FB0745"/>
    <w:rsid w:val="00FB103B"/>
    <w:rsid w:val="00FB1F5F"/>
    <w:rsid w:val="00FB23CD"/>
    <w:rsid w:val="00FB2F34"/>
    <w:rsid w:val="00FB2F87"/>
    <w:rsid w:val="00FB3391"/>
    <w:rsid w:val="00FB348A"/>
    <w:rsid w:val="00FB377A"/>
    <w:rsid w:val="00FB3C01"/>
    <w:rsid w:val="00FB3D27"/>
    <w:rsid w:val="00FB4140"/>
    <w:rsid w:val="00FB4CF1"/>
    <w:rsid w:val="00FB530C"/>
    <w:rsid w:val="00FB55C2"/>
    <w:rsid w:val="00FB5B18"/>
    <w:rsid w:val="00FB6E07"/>
    <w:rsid w:val="00FB739E"/>
    <w:rsid w:val="00FB7439"/>
    <w:rsid w:val="00FB745D"/>
    <w:rsid w:val="00FB74B8"/>
    <w:rsid w:val="00FB7A80"/>
    <w:rsid w:val="00FC02D7"/>
    <w:rsid w:val="00FC101C"/>
    <w:rsid w:val="00FC1277"/>
    <w:rsid w:val="00FC13CC"/>
    <w:rsid w:val="00FC16AE"/>
    <w:rsid w:val="00FC1A83"/>
    <w:rsid w:val="00FC1C8D"/>
    <w:rsid w:val="00FC2802"/>
    <w:rsid w:val="00FC2D43"/>
    <w:rsid w:val="00FC3494"/>
    <w:rsid w:val="00FC452C"/>
    <w:rsid w:val="00FC4ED9"/>
    <w:rsid w:val="00FC4F3D"/>
    <w:rsid w:val="00FC52BA"/>
    <w:rsid w:val="00FC55BC"/>
    <w:rsid w:val="00FC57C7"/>
    <w:rsid w:val="00FC619E"/>
    <w:rsid w:val="00FC630D"/>
    <w:rsid w:val="00FC73EC"/>
    <w:rsid w:val="00FC751B"/>
    <w:rsid w:val="00FC75BB"/>
    <w:rsid w:val="00FC78E8"/>
    <w:rsid w:val="00FC7C96"/>
    <w:rsid w:val="00FD0863"/>
    <w:rsid w:val="00FD0F45"/>
    <w:rsid w:val="00FD15D8"/>
    <w:rsid w:val="00FD17F8"/>
    <w:rsid w:val="00FD22E5"/>
    <w:rsid w:val="00FD25B3"/>
    <w:rsid w:val="00FD2611"/>
    <w:rsid w:val="00FD281F"/>
    <w:rsid w:val="00FD2F22"/>
    <w:rsid w:val="00FD302C"/>
    <w:rsid w:val="00FD353C"/>
    <w:rsid w:val="00FD3712"/>
    <w:rsid w:val="00FD3722"/>
    <w:rsid w:val="00FD3967"/>
    <w:rsid w:val="00FD3F69"/>
    <w:rsid w:val="00FD41B3"/>
    <w:rsid w:val="00FD47AC"/>
    <w:rsid w:val="00FD5BCD"/>
    <w:rsid w:val="00FD5E2E"/>
    <w:rsid w:val="00FD61E2"/>
    <w:rsid w:val="00FD6495"/>
    <w:rsid w:val="00FD66B4"/>
    <w:rsid w:val="00FD6AE7"/>
    <w:rsid w:val="00FD6B21"/>
    <w:rsid w:val="00FD711D"/>
    <w:rsid w:val="00FD763A"/>
    <w:rsid w:val="00FE0234"/>
    <w:rsid w:val="00FE0503"/>
    <w:rsid w:val="00FE0515"/>
    <w:rsid w:val="00FE063E"/>
    <w:rsid w:val="00FE0DC2"/>
    <w:rsid w:val="00FE0DE8"/>
    <w:rsid w:val="00FE187E"/>
    <w:rsid w:val="00FE1937"/>
    <w:rsid w:val="00FE19CE"/>
    <w:rsid w:val="00FE1CF7"/>
    <w:rsid w:val="00FE2274"/>
    <w:rsid w:val="00FE2A8E"/>
    <w:rsid w:val="00FE2AE2"/>
    <w:rsid w:val="00FE2E15"/>
    <w:rsid w:val="00FE3CBC"/>
    <w:rsid w:val="00FE4756"/>
    <w:rsid w:val="00FE477D"/>
    <w:rsid w:val="00FE47C7"/>
    <w:rsid w:val="00FE49D1"/>
    <w:rsid w:val="00FE4B09"/>
    <w:rsid w:val="00FE5125"/>
    <w:rsid w:val="00FE5562"/>
    <w:rsid w:val="00FE62A4"/>
    <w:rsid w:val="00FE68B1"/>
    <w:rsid w:val="00FE69A0"/>
    <w:rsid w:val="00FE74D5"/>
    <w:rsid w:val="00FE756A"/>
    <w:rsid w:val="00FE7806"/>
    <w:rsid w:val="00FF0644"/>
    <w:rsid w:val="00FF0780"/>
    <w:rsid w:val="00FF0AB6"/>
    <w:rsid w:val="00FF0D85"/>
    <w:rsid w:val="00FF1156"/>
    <w:rsid w:val="00FF12C6"/>
    <w:rsid w:val="00FF1890"/>
    <w:rsid w:val="00FF1E0F"/>
    <w:rsid w:val="00FF2402"/>
    <w:rsid w:val="00FF25B2"/>
    <w:rsid w:val="00FF3125"/>
    <w:rsid w:val="00FF3BF1"/>
    <w:rsid w:val="00FF4454"/>
    <w:rsid w:val="00FF4612"/>
    <w:rsid w:val="00FF4AEB"/>
    <w:rsid w:val="00FF52F8"/>
    <w:rsid w:val="00FF5487"/>
    <w:rsid w:val="00FF5628"/>
    <w:rsid w:val="00FF575F"/>
    <w:rsid w:val="00FF5C6C"/>
    <w:rsid w:val="00FF5CAA"/>
    <w:rsid w:val="00FF5D01"/>
    <w:rsid w:val="00FF5F5C"/>
    <w:rsid w:val="00FF6153"/>
    <w:rsid w:val="00FF69A7"/>
    <w:rsid w:val="00FF6D9F"/>
    <w:rsid w:val="00FF725E"/>
    <w:rsid w:val="00FF73C1"/>
    <w:rsid w:val="00FF7D35"/>
    <w:rsid w:val="00FF7FAC"/>
    <w:rsid w:val="317A8A92"/>
    <w:rsid w:val="6742C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97A297"/>
  <w15:docId w15:val="{336A6B25-CCE7-482F-A4D6-0E1A10BC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50"/>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5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A0C6D"/>
    <w:pPr>
      <w:keepNext/>
      <w:numPr>
        <w:ilvl w:val="4"/>
        <w:numId w:val="50"/>
      </w:numPr>
      <w:outlineLvl w:val="4"/>
    </w:pPr>
    <w:rPr>
      <w:rFonts w:eastAsiaTheme="majorEastAsia"/>
    </w:rPr>
  </w:style>
  <w:style w:type="paragraph" w:styleId="Heading6">
    <w:name w:val="heading 6"/>
    <w:basedOn w:val="Normal"/>
    <w:next w:val="Text2"/>
    <w:link w:val="Heading6Char"/>
    <w:uiPriority w:val="9"/>
    <w:semiHidden/>
    <w:unhideWhenUsed/>
    <w:qFormat/>
    <w:rsid w:val="005A0C6D"/>
    <w:pPr>
      <w:keepNext/>
      <w:numPr>
        <w:ilvl w:val="5"/>
        <w:numId w:val="50"/>
      </w:numPr>
      <w:outlineLvl w:val="5"/>
    </w:pPr>
    <w:rPr>
      <w:rFonts w:eastAsiaTheme="majorEastAsia"/>
      <w:iCs/>
    </w:rPr>
  </w:style>
  <w:style w:type="paragraph" w:styleId="Heading7">
    <w:name w:val="heading 7"/>
    <w:basedOn w:val="Normal"/>
    <w:next w:val="Text2"/>
    <w:link w:val="Heading7Char"/>
    <w:uiPriority w:val="9"/>
    <w:semiHidden/>
    <w:unhideWhenUsed/>
    <w:qFormat/>
    <w:rsid w:val="005A0C6D"/>
    <w:pPr>
      <w:keepNext/>
      <w:numPr>
        <w:ilvl w:val="6"/>
        <w:numId w:val="5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47FDE"/>
  </w:style>
  <w:style w:type="character" w:customStyle="1" w:styleId="Footnote1">
    <w:name w:val="Footnote|1_"/>
    <w:basedOn w:val="DefaultParagraphFont"/>
    <w:link w:val="Footnote10"/>
    <w:rsid w:val="00F47FDE"/>
    <w:rPr>
      <w:sz w:val="20"/>
      <w:szCs w:val="20"/>
    </w:rPr>
  </w:style>
  <w:style w:type="character" w:customStyle="1" w:styleId="Picturecaption1">
    <w:name w:val="Picture caption|1_"/>
    <w:basedOn w:val="DefaultParagraphFont"/>
    <w:link w:val="Picturecaption10"/>
    <w:rsid w:val="00F47FDE"/>
    <w:rPr>
      <w:rFonts w:ascii="Arial" w:eastAsia="Arial" w:hAnsi="Arial" w:cs="Arial"/>
    </w:rPr>
  </w:style>
  <w:style w:type="character" w:customStyle="1" w:styleId="Bodytext4">
    <w:name w:val="Body text|4_"/>
    <w:basedOn w:val="DefaultParagraphFont"/>
    <w:link w:val="Bodytext40"/>
    <w:rsid w:val="00F47FDE"/>
    <w:rPr>
      <w:rFonts w:ascii="Arial" w:eastAsia="Arial" w:hAnsi="Arial" w:cs="Arial"/>
      <w:b/>
      <w:bCs/>
      <w:sz w:val="48"/>
      <w:szCs w:val="48"/>
    </w:rPr>
  </w:style>
  <w:style w:type="character" w:customStyle="1" w:styleId="Bodytext1">
    <w:name w:val="Body text|1_"/>
    <w:basedOn w:val="DefaultParagraphFont"/>
    <w:link w:val="Bodytext10"/>
    <w:rsid w:val="00F47FDE"/>
  </w:style>
  <w:style w:type="character" w:customStyle="1" w:styleId="Bodytext3">
    <w:name w:val="Body text|3_"/>
    <w:basedOn w:val="DefaultParagraphFont"/>
    <w:link w:val="Bodytext30"/>
    <w:rsid w:val="00F47FDE"/>
    <w:rPr>
      <w:b/>
      <w:bCs/>
      <w:sz w:val="28"/>
      <w:szCs w:val="28"/>
    </w:rPr>
  </w:style>
  <w:style w:type="character" w:customStyle="1" w:styleId="Tableofcontents1">
    <w:name w:val="Table of contents|1_"/>
    <w:basedOn w:val="DefaultParagraphFont"/>
    <w:link w:val="Tableofcontents10"/>
    <w:rsid w:val="00F47FDE"/>
  </w:style>
  <w:style w:type="character" w:customStyle="1" w:styleId="Headerorfooter2">
    <w:name w:val="Header or footer|2_"/>
    <w:basedOn w:val="DefaultParagraphFont"/>
    <w:link w:val="Headerorfooter20"/>
    <w:rsid w:val="00F47FDE"/>
    <w:rPr>
      <w:sz w:val="20"/>
      <w:szCs w:val="20"/>
      <w:lang w:val="bg-BG" w:eastAsia="bg-BG" w:bidi="bg-BG"/>
    </w:rPr>
  </w:style>
  <w:style w:type="character" w:customStyle="1" w:styleId="Heading11">
    <w:name w:val="Heading #1|1_"/>
    <w:basedOn w:val="DefaultParagraphFont"/>
    <w:link w:val="Heading110"/>
    <w:rsid w:val="00F47FDE"/>
    <w:rPr>
      <w:b/>
      <w:bCs/>
      <w:smallCaps/>
      <w:sz w:val="20"/>
      <w:szCs w:val="20"/>
    </w:rPr>
  </w:style>
  <w:style w:type="character" w:customStyle="1" w:styleId="Bodytext2">
    <w:name w:val="Body text|2_"/>
    <w:basedOn w:val="DefaultParagraphFont"/>
    <w:link w:val="Bodytext20"/>
    <w:rsid w:val="00F47FDE"/>
    <w:rPr>
      <w:b/>
      <w:bCs/>
      <w:smallCaps/>
      <w:sz w:val="20"/>
      <w:szCs w:val="20"/>
    </w:rPr>
  </w:style>
  <w:style w:type="character" w:customStyle="1" w:styleId="Other1">
    <w:name w:val="Other|1_"/>
    <w:basedOn w:val="DefaultParagraphFont"/>
    <w:link w:val="Other10"/>
    <w:rsid w:val="00F47FDE"/>
  </w:style>
  <w:style w:type="character" w:customStyle="1" w:styleId="Heading21">
    <w:name w:val="Heading #2|1_"/>
    <w:basedOn w:val="DefaultParagraphFont"/>
    <w:link w:val="Heading210"/>
    <w:rsid w:val="00F47FDE"/>
    <w:rPr>
      <w:b/>
      <w:bCs/>
    </w:rPr>
  </w:style>
  <w:style w:type="character" w:customStyle="1" w:styleId="Tablecaption1">
    <w:name w:val="Table caption|1_"/>
    <w:basedOn w:val="DefaultParagraphFont"/>
    <w:link w:val="Tablecaption10"/>
    <w:rsid w:val="00F47FDE"/>
    <w:rPr>
      <w:b/>
      <w:bCs/>
      <w:smallCaps/>
      <w:sz w:val="20"/>
      <w:szCs w:val="20"/>
    </w:rPr>
  </w:style>
  <w:style w:type="paragraph" w:customStyle="1" w:styleId="Footnote10">
    <w:name w:val="Footnote|1"/>
    <w:basedOn w:val="Normal"/>
    <w:link w:val="Footnote1"/>
    <w:rsid w:val="00F47FDE"/>
    <w:pPr>
      <w:widowControl w:val="0"/>
      <w:spacing w:before="0" w:after="0"/>
      <w:jc w:val="left"/>
    </w:pPr>
    <w:rPr>
      <w:rFonts w:asciiTheme="minorHAnsi" w:hAnsiTheme="minorHAnsi" w:cstheme="minorBidi"/>
      <w:sz w:val="20"/>
      <w:szCs w:val="20"/>
      <w:lang w:val="en-US"/>
    </w:rPr>
  </w:style>
  <w:style w:type="paragraph" w:customStyle="1" w:styleId="Picturecaption10">
    <w:name w:val="Picture caption|1"/>
    <w:basedOn w:val="Normal"/>
    <w:link w:val="Picturecaption1"/>
    <w:rsid w:val="00F47FDE"/>
    <w:pPr>
      <w:widowControl w:val="0"/>
      <w:spacing w:before="0" w:after="0"/>
      <w:jc w:val="left"/>
    </w:pPr>
    <w:rPr>
      <w:rFonts w:ascii="Arial" w:eastAsia="Arial" w:hAnsi="Arial" w:cs="Arial"/>
      <w:sz w:val="22"/>
      <w:lang w:val="en-US"/>
    </w:rPr>
  </w:style>
  <w:style w:type="paragraph" w:customStyle="1" w:styleId="Bodytext40">
    <w:name w:val="Body text|4"/>
    <w:basedOn w:val="Normal"/>
    <w:link w:val="Bodytext4"/>
    <w:rsid w:val="00F47FDE"/>
    <w:pPr>
      <w:widowControl w:val="0"/>
      <w:spacing w:before="0" w:after="0"/>
      <w:jc w:val="left"/>
    </w:pPr>
    <w:rPr>
      <w:rFonts w:ascii="Arial" w:eastAsia="Arial" w:hAnsi="Arial" w:cs="Arial"/>
      <w:b/>
      <w:bCs/>
      <w:sz w:val="48"/>
      <w:szCs w:val="48"/>
      <w:lang w:val="en-US"/>
    </w:rPr>
  </w:style>
  <w:style w:type="paragraph" w:customStyle="1" w:styleId="Bodytext10">
    <w:name w:val="Body text|1"/>
    <w:basedOn w:val="Normal"/>
    <w:link w:val="Bodytext1"/>
    <w:rsid w:val="00F47FDE"/>
    <w:pPr>
      <w:widowControl w:val="0"/>
      <w:spacing w:before="0" w:after="100"/>
      <w:jc w:val="left"/>
    </w:pPr>
    <w:rPr>
      <w:rFonts w:asciiTheme="minorHAnsi" w:hAnsiTheme="minorHAnsi" w:cstheme="minorBidi"/>
      <w:sz w:val="22"/>
      <w:lang w:val="en-US"/>
    </w:rPr>
  </w:style>
  <w:style w:type="paragraph" w:customStyle="1" w:styleId="Bodytext30">
    <w:name w:val="Body text|3"/>
    <w:basedOn w:val="Normal"/>
    <w:link w:val="Bodytext3"/>
    <w:rsid w:val="00F47FDE"/>
    <w:pPr>
      <w:widowControl w:val="0"/>
      <w:spacing w:before="0" w:after="40"/>
      <w:jc w:val="center"/>
    </w:pPr>
    <w:rPr>
      <w:rFonts w:asciiTheme="minorHAnsi" w:hAnsiTheme="minorHAnsi" w:cstheme="minorBidi"/>
      <w:b/>
      <w:bCs/>
      <w:sz w:val="28"/>
      <w:szCs w:val="28"/>
      <w:lang w:val="en-US"/>
    </w:rPr>
  </w:style>
  <w:style w:type="paragraph" w:customStyle="1" w:styleId="Tableofcontents10">
    <w:name w:val="Table of contents|1"/>
    <w:basedOn w:val="Normal"/>
    <w:link w:val="Tableofcontents1"/>
    <w:rsid w:val="00F47FDE"/>
    <w:pPr>
      <w:widowControl w:val="0"/>
      <w:spacing w:before="0" w:after="100"/>
      <w:jc w:val="left"/>
    </w:pPr>
    <w:rPr>
      <w:rFonts w:asciiTheme="minorHAnsi" w:hAnsiTheme="minorHAnsi" w:cstheme="minorBidi"/>
      <w:sz w:val="22"/>
      <w:lang w:val="en-US"/>
    </w:rPr>
  </w:style>
  <w:style w:type="paragraph" w:customStyle="1" w:styleId="Headerorfooter20">
    <w:name w:val="Header or footer|2"/>
    <w:basedOn w:val="Normal"/>
    <w:link w:val="Headerorfooter2"/>
    <w:rsid w:val="00F47FDE"/>
    <w:pPr>
      <w:widowControl w:val="0"/>
      <w:spacing w:before="0" w:after="0"/>
      <w:jc w:val="left"/>
    </w:pPr>
    <w:rPr>
      <w:rFonts w:asciiTheme="minorHAnsi" w:hAnsiTheme="minorHAnsi" w:cstheme="minorBidi"/>
      <w:sz w:val="20"/>
      <w:szCs w:val="20"/>
      <w:lang w:val="bg-BG" w:eastAsia="bg-BG" w:bidi="bg-BG"/>
    </w:rPr>
  </w:style>
  <w:style w:type="paragraph" w:customStyle="1" w:styleId="Heading110">
    <w:name w:val="Heading #1|1"/>
    <w:basedOn w:val="Normal"/>
    <w:link w:val="Heading11"/>
    <w:rsid w:val="00F47FDE"/>
    <w:pPr>
      <w:widowControl w:val="0"/>
      <w:spacing w:before="0"/>
      <w:jc w:val="left"/>
      <w:outlineLvl w:val="0"/>
    </w:pPr>
    <w:rPr>
      <w:rFonts w:asciiTheme="minorHAnsi" w:hAnsiTheme="minorHAnsi" w:cstheme="minorBidi"/>
      <w:b/>
      <w:bCs/>
      <w:smallCaps/>
      <w:sz w:val="20"/>
      <w:szCs w:val="20"/>
      <w:lang w:val="en-US"/>
    </w:rPr>
  </w:style>
  <w:style w:type="paragraph" w:customStyle="1" w:styleId="Bodytext20">
    <w:name w:val="Body text|2"/>
    <w:basedOn w:val="Normal"/>
    <w:link w:val="Bodytext2"/>
    <w:rsid w:val="00F47FDE"/>
    <w:pPr>
      <w:widowControl w:val="0"/>
      <w:spacing w:before="0" w:after="240"/>
      <w:jc w:val="left"/>
    </w:pPr>
    <w:rPr>
      <w:rFonts w:asciiTheme="minorHAnsi" w:hAnsiTheme="minorHAnsi" w:cstheme="minorBidi"/>
      <w:b/>
      <w:bCs/>
      <w:smallCaps/>
      <w:sz w:val="20"/>
      <w:szCs w:val="20"/>
      <w:lang w:val="en-US"/>
    </w:rPr>
  </w:style>
  <w:style w:type="paragraph" w:customStyle="1" w:styleId="Other10">
    <w:name w:val="Other|1"/>
    <w:basedOn w:val="Normal"/>
    <w:link w:val="Other1"/>
    <w:rsid w:val="00F47FDE"/>
    <w:pPr>
      <w:widowControl w:val="0"/>
      <w:spacing w:before="0" w:after="100"/>
      <w:jc w:val="left"/>
    </w:pPr>
    <w:rPr>
      <w:rFonts w:asciiTheme="minorHAnsi" w:hAnsiTheme="minorHAnsi" w:cstheme="minorBidi"/>
      <w:sz w:val="22"/>
      <w:lang w:val="en-US"/>
    </w:rPr>
  </w:style>
  <w:style w:type="paragraph" w:customStyle="1" w:styleId="Heading210">
    <w:name w:val="Heading #2|1"/>
    <w:basedOn w:val="Normal"/>
    <w:link w:val="Heading21"/>
    <w:rsid w:val="00F47FDE"/>
    <w:pPr>
      <w:widowControl w:val="0"/>
      <w:spacing w:before="0" w:after="160"/>
      <w:ind w:left="840" w:hanging="840"/>
      <w:jc w:val="left"/>
      <w:outlineLvl w:val="1"/>
    </w:pPr>
    <w:rPr>
      <w:rFonts w:asciiTheme="minorHAnsi" w:hAnsiTheme="minorHAnsi" w:cstheme="minorBidi"/>
      <w:b/>
      <w:bCs/>
      <w:sz w:val="22"/>
      <w:lang w:val="en-US"/>
    </w:rPr>
  </w:style>
  <w:style w:type="paragraph" w:customStyle="1" w:styleId="Tablecaption10">
    <w:name w:val="Table caption|1"/>
    <w:basedOn w:val="Normal"/>
    <w:link w:val="Tablecaption1"/>
    <w:rsid w:val="00F47FDE"/>
    <w:pPr>
      <w:widowControl w:val="0"/>
      <w:spacing w:before="0" w:after="0"/>
      <w:jc w:val="left"/>
    </w:pPr>
    <w:rPr>
      <w:rFonts w:asciiTheme="minorHAnsi" w:hAnsiTheme="minorHAnsi" w:cstheme="minorBidi"/>
      <w:b/>
      <w:bCs/>
      <w:smallCaps/>
      <w:sz w:val="20"/>
      <w:szCs w:val="20"/>
      <w:lang w:val="en-US"/>
    </w:rPr>
  </w:style>
  <w:style w:type="paragraph" w:styleId="Revision">
    <w:name w:val="Revision"/>
    <w:hidden/>
    <w:uiPriority w:val="99"/>
    <w:semiHidden/>
    <w:rsid w:val="00F47FDE"/>
    <w:pPr>
      <w:spacing w:after="0" w:line="240" w:lineRule="auto"/>
    </w:pPr>
    <w:rPr>
      <w:rFonts w:ascii="Times New Roman" w:eastAsia="Times New Roman" w:hAnsi="Times New Roman" w:cs="Times New Roman"/>
      <w:color w:val="000000"/>
      <w:sz w:val="24"/>
      <w:szCs w:val="24"/>
      <w:lang w:val="hr-HR" w:eastAsia="hr-HR" w:bidi="hr-HR"/>
    </w:rPr>
  </w:style>
  <w:style w:type="character" w:customStyle="1" w:styleId="Hyperlink1">
    <w:name w:val="Hyperlink1"/>
    <w:basedOn w:val="DefaultParagraphFont"/>
    <w:uiPriority w:val="99"/>
    <w:unhideWhenUsed/>
    <w:rsid w:val="00F47FDE"/>
    <w:rPr>
      <w:color w:val="467886"/>
      <w:u w:val="single"/>
    </w:rPr>
  </w:style>
  <w:style w:type="table" w:styleId="TableGrid">
    <w:name w:val="Table Grid"/>
    <w:basedOn w:val="TableNormal"/>
    <w:uiPriority w:val="39"/>
    <w:rsid w:val="00F47FDE"/>
    <w:pPr>
      <w:widowControl w:val="0"/>
      <w:spacing w:after="0" w:line="240" w:lineRule="auto"/>
    </w:pPr>
    <w:rPr>
      <w:rFonts w:ascii="Times New Roman" w:eastAsia="Times New Roman" w:hAnsi="Times New Roman" w:cs="Times New Roman"/>
      <w:sz w:val="24"/>
      <w:szCs w:val="24"/>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47FDE"/>
    <w:rPr>
      <w:i/>
      <w:iCs/>
    </w:rPr>
  </w:style>
  <w:style w:type="character" w:customStyle="1" w:styleId="UnresolvedMention1">
    <w:name w:val="Unresolved Mention1"/>
    <w:basedOn w:val="DefaultParagraphFont"/>
    <w:uiPriority w:val="99"/>
    <w:semiHidden/>
    <w:unhideWhenUsed/>
    <w:rsid w:val="00F47FDE"/>
    <w:rPr>
      <w:color w:val="605E5C"/>
      <w:shd w:val="clear" w:color="auto" w:fill="E1DFDD"/>
    </w:rPr>
  </w:style>
  <w:style w:type="paragraph" w:customStyle="1" w:styleId="31">
    <w:name w:val="31"/>
    <w:basedOn w:val="Normal"/>
    <w:next w:val="ListParagraph"/>
    <w:link w:val="ListParagraphChar"/>
    <w:uiPriority w:val="34"/>
    <w:qFormat/>
    <w:rsid w:val="00F47FDE"/>
    <w:pPr>
      <w:spacing w:before="0" w:after="200" w:line="276" w:lineRule="auto"/>
      <w:ind w:left="720"/>
      <w:contextualSpacing/>
    </w:pPr>
    <w:rPr>
      <w:rFonts w:ascii="Aptos" w:eastAsia="Yu Mincho" w:hAnsi="Aptos" w:cs="Arial"/>
      <w:sz w:val="20"/>
      <w:szCs w:val="20"/>
      <w:lang w:val="en-I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31"/>
    <w:uiPriority w:val="34"/>
    <w:qFormat/>
    <w:locked/>
    <w:rsid w:val="00F47FDE"/>
    <w:rPr>
      <w:rFonts w:ascii="Aptos" w:eastAsia="Yu Mincho" w:hAnsi="Aptos" w:cs="Arial"/>
      <w:sz w:val="20"/>
      <w:szCs w:val="20"/>
      <w:lang w:val="en-IE" w:eastAsia="en-US" w:bidi="ar-SA"/>
    </w:rPr>
  </w:style>
  <w:style w:type="character" w:styleId="CommentReference">
    <w:name w:val="annotation reference"/>
    <w:basedOn w:val="DefaultParagraphFont"/>
    <w:uiPriority w:val="99"/>
    <w:semiHidden/>
    <w:unhideWhenUsed/>
    <w:rsid w:val="00F47FDE"/>
    <w:rPr>
      <w:sz w:val="16"/>
      <w:szCs w:val="16"/>
    </w:rPr>
  </w:style>
  <w:style w:type="paragraph" w:styleId="CommentText">
    <w:name w:val="annotation text"/>
    <w:basedOn w:val="Normal"/>
    <w:link w:val="CommentTextChar"/>
    <w:uiPriority w:val="99"/>
    <w:unhideWhenUsed/>
    <w:rsid w:val="00F47FDE"/>
    <w:pPr>
      <w:widowControl w:val="0"/>
      <w:spacing w:before="0" w:after="0"/>
      <w:jc w:val="left"/>
    </w:pPr>
    <w:rPr>
      <w:rFonts w:eastAsia="Times New Roman"/>
      <w:color w:val="000000"/>
      <w:sz w:val="20"/>
      <w:szCs w:val="20"/>
      <w:lang w:val="hr-HR" w:eastAsia="hr-HR" w:bidi="hr-HR"/>
    </w:rPr>
  </w:style>
  <w:style w:type="character" w:customStyle="1" w:styleId="CommentTextChar">
    <w:name w:val="Comment Text Char"/>
    <w:basedOn w:val="DefaultParagraphFont"/>
    <w:link w:val="CommentText"/>
    <w:uiPriority w:val="99"/>
    <w:rsid w:val="00F47FDE"/>
    <w:rPr>
      <w:rFonts w:ascii="Times New Roman" w:eastAsia="Times New Roman" w:hAnsi="Times New Roman" w:cs="Times New Roman"/>
      <w:color w:val="000000"/>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F47FDE"/>
    <w:rPr>
      <w:b/>
      <w:bCs/>
    </w:rPr>
  </w:style>
  <w:style w:type="character" w:customStyle="1" w:styleId="CommentSubjectChar">
    <w:name w:val="Comment Subject Char"/>
    <w:basedOn w:val="CommentTextChar"/>
    <w:link w:val="CommentSubject"/>
    <w:uiPriority w:val="99"/>
    <w:semiHidden/>
    <w:rsid w:val="00F47FDE"/>
    <w:rPr>
      <w:rFonts w:ascii="Times New Roman" w:eastAsia="Times New Roman" w:hAnsi="Times New Roman" w:cs="Times New Roman"/>
      <w:b/>
      <w:bCs/>
      <w:color w:val="000000"/>
      <w:sz w:val="20"/>
      <w:szCs w:val="20"/>
      <w:lang w:val="hr-HR" w:eastAsia="hr-HR" w:bidi="hr-HR"/>
    </w:rPr>
  </w:style>
  <w:style w:type="character" w:customStyle="1" w:styleId="Mention1">
    <w:name w:val="Mention1"/>
    <w:basedOn w:val="DefaultParagraphFont"/>
    <w:uiPriority w:val="99"/>
    <w:unhideWhenUsed/>
    <w:rsid w:val="00F47FDE"/>
    <w:rPr>
      <w:color w:val="2B579A"/>
      <w:shd w:val="clear" w:color="auto" w:fill="E1DFDD"/>
    </w:rPr>
  </w:style>
  <w:style w:type="paragraph" w:customStyle="1" w:styleId="16Point">
    <w:name w:val="16 Point"/>
    <w:aliases w:val="Superscript 6 Point,Odwołanie przypisu,footnote ref,2001+ Fußnotenzeichen, Exposant 3 Point,number"/>
    <w:basedOn w:val="Normal"/>
    <w:link w:val="FootnoteReference"/>
    <w:uiPriority w:val="99"/>
    <w:rsid w:val="00F47FDE"/>
    <w:pPr>
      <w:spacing w:before="0" w:after="0" w:line="240" w:lineRule="exact"/>
    </w:pPr>
    <w:rPr>
      <w:rFonts w:asciiTheme="minorHAnsi" w:hAnsiTheme="minorHAnsi" w:cstheme="minorBidi"/>
      <w:sz w:val="22"/>
      <w:vertAlign w:val="superscript"/>
      <w:lang w:val="en-US"/>
    </w:rPr>
  </w:style>
  <w:style w:type="character" w:customStyle="1" w:styleId="normaltextrun">
    <w:name w:val="normaltextrun"/>
    <w:basedOn w:val="DefaultParagraphFont"/>
    <w:rsid w:val="00F47FDE"/>
  </w:style>
  <w:style w:type="character" w:customStyle="1" w:styleId="eop">
    <w:name w:val="eop"/>
    <w:basedOn w:val="DefaultParagraphFont"/>
    <w:rsid w:val="00F47FDE"/>
  </w:style>
  <w:style w:type="character" w:styleId="Hyperlink">
    <w:name w:val="Hyperlink"/>
    <w:basedOn w:val="DefaultParagraphFont"/>
    <w:uiPriority w:val="99"/>
    <w:unhideWhenUsed/>
    <w:rsid w:val="00F47FDE"/>
    <w:rPr>
      <w:color w:val="0000FF" w:themeColor="hyperlink"/>
      <w:u w:val="single"/>
    </w:rPr>
  </w:style>
  <w:style w:type="paragraph" w:styleId="ListParagraph">
    <w:name w:val="List Paragraph"/>
    <w:basedOn w:val="Normal"/>
    <w:uiPriority w:val="34"/>
    <w:qFormat/>
    <w:rsid w:val="00F47FDE"/>
    <w:pPr>
      <w:ind w:left="720"/>
      <w:contextualSpacing/>
    </w:pPr>
  </w:style>
  <w:style w:type="paragraph" w:styleId="Header">
    <w:name w:val="header"/>
    <w:basedOn w:val="Normal"/>
    <w:link w:val="HeaderChar"/>
    <w:uiPriority w:val="99"/>
    <w:unhideWhenUsed/>
    <w:rsid w:val="005A0C6D"/>
    <w:pPr>
      <w:tabs>
        <w:tab w:val="center" w:pos="4535"/>
        <w:tab w:val="right" w:pos="9071"/>
      </w:tabs>
      <w:spacing w:before="0"/>
    </w:pPr>
  </w:style>
  <w:style w:type="character" w:customStyle="1" w:styleId="HeaderChar">
    <w:name w:val="Header Char"/>
    <w:basedOn w:val="DefaultParagraphFont"/>
    <w:link w:val="Header"/>
    <w:uiPriority w:val="99"/>
    <w:rsid w:val="005A0C6D"/>
    <w:rPr>
      <w:rFonts w:ascii="Times New Roman" w:hAnsi="Times New Roman" w:cs="Times New Roman"/>
      <w:sz w:val="24"/>
      <w:lang w:val="en-GB"/>
    </w:rPr>
  </w:style>
  <w:style w:type="paragraph" w:styleId="Footer">
    <w:name w:val="footer"/>
    <w:basedOn w:val="Normal"/>
    <w:link w:val="FooterChar"/>
    <w:uiPriority w:val="99"/>
    <w:unhideWhenUsed/>
    <w:rsid w:val="005A0C6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A0C6D"/>
    <w:rPr>
      <w:rFonts w:ascii="Times New Roman" w:hAnsi="Times New Roman" w:cs="Times New Roman"/>
      <w:sz w:val="24"/>
      <w:lang w:val="en-GB"/>
    </w:rPr>
  </w:style>
  <w:style w:type="paragraph" w:styleId="FootnoteText">
    <w:name w:val="footnote text"/>
    <w:basedOn w:val="Normal"/>
    <w:uiPriority w:val="99"/>
    <w:unhideWhenUsed/>
    <w:pPr>
      <w:spacing w:before="0" w:after="0"/>
      <w:ind w:left="720" w:hanging="720"/>
    </w:pPr>
    <w:rPr>
      <w:sz w:val="20"/>
      <w:szCs w:val="20"/>
    </w:rPr>
  </w:style>
  <w:style w:type="character" w:customStyle="1" w:styleId="FootnoteTextChar">
    <w:name w:val="Footnote Text Char"/>
    <w:basedOn w:val="DefaultParagraphFon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A0C6D"/>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A0C6D"/>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A0C6D"/>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rsid w:val="005A0C6D"/>
    <w:pPr>
      <w:tabs>
        <w:tab w:val="right" w:leader="dot" w:pos="9071"/>
      </w:tabs>
      <w:ind w:left="1417" w:hanging="1417"/>
      <w:jc w:val="left"/>
    </w:pPr>
  </w:style>
  <w:style w:type="paragraph" w:customStyle="1" w:styleId="HeaderLandscape">
    <w:name w:val="HeaderLandscape"/>
    <w:basedOn w:val="Normal"/>
    <w:rsid w:val="005A0C6D"/>
    <w:pPr>
      <w:tabs>
        <w:tab w:val="center" w:pos="7285"/>
        <w:tab w:val="right" w:pos="14003"/>
      </w:tabs>
      <w:spacing w:before="0"/>
    </w:pPr>
  </w:style>
  <w:style w:type="paragraph" w:customStyle="1" w:styleId="FooterLandscape">
    <w:name w:val="FooterLandscape"/>
    <w:basedOn w:val="Normal"/>
    <w:rsid w:val="005A0C6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16Point"/>
    <w:uiPriority w:val="99"/>
    <w:semiHidden/>
    <w:unhideWhenUsed/>
    <w:rPr>
      <w:shd w:val="clear" w:color="auto" w:fill="auto"/>
      <w:vertAlign w:val="superscript"/>
    </w:rPr>
  </w:style>
  <w:style w:type="paragraph" w:customStyle="1" w:styleId="HeaderSensitivity">
    <w:name w:val="Header Sensitivity"/>
    <w:basedOn w:val="Normal"/>
    <w:rsid w:val="005A0C6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A0C6D"/>
    <w:pPr>
      <w:spacing w:before="0"/>
      <w:jc w:val="right"/>
    </w:pPr>
    <w:rPr>
      <w:sz w:val="28"/>
    </w:rPr>
  </w:style>
  <w:style w:type="paragraph" w:customStyle="1" w:styleId="FooterSensitivity">
    <w:name w:val="Footer Sensitivity"/>
    <w:basedOn w:val="Normal"/>
    <w:rsid w:val="005A0C6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rsid w:val="005A0C6D"/>
    <w:pPr>
      <w:ind w:left="3118"/>
    </w:pPr>
  </w:style>
  <w:style w:type="paragraph" w:customStyle="1" w:styleId="Text6">
    <w:name w:val="Text 6"/>
    <w:basedOn w:val="Normal"/>
    <w:rsid w:val="005A0C6D"/>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rsid w:val="005A0C6D"/>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rsid w:val="005A0C6D"/>
    <w:pPr>
      <w:numPr>
        <w:numId w:val="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4"/>
      </w:numPr>
    </w:pPr>
  </w:style>
  <w:style w:type="paragraph" w:customStyle="1" w:styleId="NumPar2">
    <w:name w:val="NumPar 2"/>
    <w:basedOn w:val="Normal"/>
    <w:next w:val="Text1"/>
    <w:pPr>
      <w:numPr>
        <w:ilvl w:val="1"/>
        <w:numId w:val="54"/>
      </w:numPr>
    </w:pPr>
  </w:style>
  <w:style w:type="paragraph" w:customStyle="1" w:styleId="NumPar3">
    <w:name w:val="NumPar 3"/>
    <w:basedOn w:val="Normal"/>
    <w:next w:val="Text1"/>
    <w:pPr>
      <w:numPr>
        <w:ilvl w:val="2"/>
        <w:numId w:val="54"/>
      </w:numPr>
    </w:pPr>
  </w:style>
  <w:style w:type="paragraph" w:customStyle="1" w:styleId="NumPar4">
    <w:name w:val="NumPar 4"/>
    <w:basedOn w:val="Normal"/>
    <w:next w:val="Text1"/>
    <w:pPr>
      <w:numPr>
        <w:ilvl w:val="3"/>
        <w:numId w:val="54"/>
      </w:numPr>
    </w:pPr>
  </w:style>
  <w:style w:type="paragraph" w:customStyle="1" w:styleId="NumPar5">
    <w:name w:val="NumPar 5"/>
    <w:basedOn w:val="Normal"/>
    <w:next w:val="Text2"/>
    <w:rsid w:val="005A0C6D"/>
    <w:pPr>
      <w:numPr>
        <w:ilvl w:val="4"/>
        <w:numId w:val="54"/>
      </w:numPr>
    </w:pPr>
  </w:style>
  <w:style w:type="paragraph" w:customStyle="1" w:styleId="NumPar6">
    <w:name w:val="NumPar 6"/>
    <w:basedOn w:val="Normal"/>
    <w:next w:val="Text2"/>
    <w:rsid w:val="005A0C6D"/>
    <w:pPr>
      <w:numPr>
        <w:ilvl w:val="5"/>
        <w:numId w:val="54"/>
      </w:numPr>
    </w:pPr>
  </w:style>
  <w:style w:type="paragraph" w:customStyle="1" w:styleId="NumPar7">
    <w:name w:val="NumPar 7"/>
    <w:basedOn w:val="Normal"/>
    <w:next w:val="Text2"/>
    <w:rsid w:val="005A0C6D"/>
    <w:pPr>
      <w:numPr>
        <w:ilvl w:val="6"/>
        <w:numId w:val="5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rsid w:val="005A0C6D"/>
    <w:pPr>
      <w:ind w:left="1417" w:hanging="1417"/>
    </w:pPr>
  </w:style>
  <w:style w:type="paragraph" w:customStyle="1" w:styleId="ManualNumPar6">
    <w:name w:val="Manual NumPar 6"/>
    <w:basedOn w:val="Normal"/>
    <w:next w:val="Text2"/>
    <w:rsid w:val="005A0C6D"/>
    <w:pPr>
      <w:ind w:left="1417" w:hanging="1417"/>
    </w:pPr>
  </w:style>
  <w:style w:type="paragraph" w:customStyle="1" w:styleId="ManualNumPar7">
    <w:name w:val="Manual NumPar 7"/>
    <w:basedOn w:val="Normal"/>
    <w:next w:val="Text2"/>
    <w:rsid w:val="005A0C6D"/>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rsid w:val="005A0C6D"/>
    <w:pPr>
      <w:keepNext/>
      <w:tabs>
        <w:tab w:val="left" w:pos="1417"/>
      </w:tabs>
      <w:ind w:left="1417" w:hanging="1417"/>
      <w:outlineLvl w:val="4"/>
    </w:pPr>
  </w:style>
  <w:style w:type="paragraph" w:customStyle="1" w:styleId="ManualHeading6">
    <w:name w:val="Manual Heading 6"/>
    <w:basedOn w:val="Normal"/>
    <w:next w:val="Text2"/>
    <w:rsid w:val="005A0C6D"/>
    <w:pPr>
      <w:keepNext/>
      <w:tabs>
        <w:tab w:val="left" w:pos="1417"/>
      </w:tabs>
      <w:ind w:left="1417" w:hanging="1417"/>
      <w:outlineLvl w:val="5"/>
    </w:pPr>
  </w:style>
  <w:style w:type="paragraph" w:customStyle="1" w:styleId="ManualHeading7">
    <w:name w:val="Manual Heading 7"/>
    <w:basedOn w:val="Normal"/>
    <w:next w:val="Text2"/>
    <w:rsid w:val="005A0C6D"/>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A0C6D"/>
    <w:pPr>
      <w:spacing w:before="0" w:after="0" w:line="276" w:lineRule="auto"/>
      <w:ind w:left="5103"/>
      <w:jc w:val="left"/>
    </w:pPr>
    <w:rPr>
      <w:sz w:val="28"/>
    </w:rPr>
  </w:style>
  <w:style w:type="paragraph" w:customStyle="1" w:styleId="DateMarking">
    <w:name w:val="DateMarking"/>
    <w:basedOn w:val="Normal"/>
    <w:rsid w:val="005A0C6D"/>
    <w:pPr>
      <w:spacing w:before="0" w:after="0" w:line="276" w:lineRule="auto"/>
      <w:ind w:left="5103"/>
      <w:jc w:val="left"/>
    </w:pPr>
    <w:rPr>
      <w:i/>
      <w:sz w:val="28"/>
    </w:rPr>
  </w:style>
  <w:style w:type="paragraph" w:customStyle="1" w:styleId="ReleasableTo">
    <w:name w:val="ReleasableTo"/>
    <w:basedOn w:val="Normal"/>
    <w:rsid w:val="005A0C6D"/>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ListBullet">
    <w:name w:val="List Bullet"/>
    <w:basedOn w:val="Normal"/>
    <w:uiPriority w:val="99"/>
    <w:semiHidden/>
    <w:unhideWhenUsed/>
    <w:rsid w:val="00D77A8A"/>
    <w:pPr>
      <w:numPr>
        <w:numId w:val="31"/>
      </w:numPr>
      <w:contextualSpacing/>
    </w:pPr>
  </w:style>
  <w:style w:type="paragraph" w:styleId="ListBullet2">
    <w:name w:val="List Bullet 2"/>
    <w:basedOn w:val="Normal"/>
    <w:uiPriority w:val="99"/>
    <w:semiHidden/>
    <w:unhideWhenUsed/>
    <w:rsid w:val="00D77A8A"/>
    <w:pPr>
      <w:numPr>
        <w:numId w:val="32"/>
      </w:numPr>
      <w:contextualSpacing/>
    </w:pPr>
  </w:style>
  <w:style w:type="paragraph" w:styleId="ListBullet3">
    <w:name w:val="List Bullet 3"/>
    <w:basedOn w:val="Normal"/>
    <w:uiPriority w:val="99"/>
    <w:semiHidden/>
    <w:unhideWhenUsed/>
    <w:rsid w:val="00D77A8A"/>
    <w:pPr>
      <w:numPr>
        <w:numId w:val="33"/>
      </w:numPr>
      <w:contextualSpacing/>
    </w:pPr>
  </w:style>
  <w:style w:type="paragraph" w:styleId="ListBullet4">
    <w:name w:val="List Bullet 4"/>
    <w:basedOn w:val="Normal"/>
    <w:uiPriority w:val="99"/>
    <w:semiHidden/>
    <w:unhideWhenUsed/>
    <w:rsid w:val="00D77A8A"/>
    <w:pPr>
      <w:numPr>
        <w:numId w:val="34"/>
      </w:numPr>
      <w:contextualSpacing/>
    </w:pPr>
  </w:style>
  <w:style w:type="character" w:styleId="FollowedHyperlink">
    <w:name w:val="FollowedHyperlink"/>
    <w:basedOn w:val="DefaultParagraphFont"/>
    <w:uiPriority w:val="99"/>
    <w:semiHidden/>
    <w:unhideWhenUsed/>
    <w:rsid w:val="00D77A8A"/>
    <w:rPr>
      <w:color w:val="800080" w:themeColor="followedHyperlink"/>
      <w:u w:val="single"/>
    </w:rPr>
  </w:style>
  <w:style w:type="paragraph" w:customStyle="1" w:styleId="LegalNumPar">
    <w:name w:val="LegalNumPar"/>
    <w:basedOn w:val="Normal"/>
    <w:rsid w:val="00463A03"/>
    <w:pPr>
      <w:numPr>
        <w:numId w:val="42"/>
      </w:numPr>
      <w:spacing w:line="360" w:lineRule="auto"/>
    </w:pPr>
  </w:style>
  <w:style w:type="paragraph" w:customStyle="1" w:styleId="LegalNumPar2">
    <w:name w:val="LegalNumPar2"/>
    <w:basedOn w:val="Normal"/>
    <w:rsid w:val="00463A03"/>
    <w:pPr>
      <w:numPr>
        <w:ilvl w:val="1"/>
        <w:numId w:val="42"/>
      </w:numPr>
      <w:spacing w:line="360" w:lineRule="auto"/>
    </w:pPr>
  </w:style>
  <w:style w:type="paragraph" w:customStyle="1" w:styleId="LegalNumPar3">
    <w:name w:val="LegalNumPar3"/>
    <w:basedOn w:val="Normal"/>
    <w:rsid w:val="00463A03"/>
    <w:pPr>
      <w:numPr>
        <w:ilvl w:val="2"/>
        <w:numId w:val="42"/>
      </w:numPr>
      <w:spacing w:line="360" w:lineRule="auto"/>
    </w:pPr>
  </w:style>
  <w:style w:type="paragraph" w:styleId="NormalWeb">
    <w:name w:val="Normal (Web)"/>
    <w:basedOn w:val="Normal"/>
    <w:uiPriority w:val="99"/>
    <w:unhideWhenUsed/>
    <w:rsid w:val="00626A20"/>
    <w:rPr>
      <w:szCs w:val="24"/>
    </w:rPr>
  </w:style>
  <w:style w:type="character" w:customStyle="1" w:styleId="cf01">
    <w:name w:val="cf01"/>
    <w:basedOn w:val="DefaultParagraphFont"/>
    <w:rsid w:val="00776F50"/>
    <w:rPr>
      <w:rFonts w:ascii="Segoe UI" w:hAnsi="Segoe UI" w:cs="Segoe UI" w:hint="default"/>
      <w:sz w:val="18"/>
      <w:szCs w:val="18"/>
    </w:rPr>
  </w:style>
  <w:style w:type="paragraph" w:styleId="BalloonText">
    <w:name w:val="Balloon Text"/>
    <w:basedOn w:val="Normal"/>
    <w:link w:val="BalloonTextChar"/>
    <w:uiPriority w:val="99"/>
    <w:semiHidden/>
    <w:unhideWhenUsed/>
    <w:rsid w:val="007F1F8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F8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0216">
      <w:bodyDiv w:val="1"/>
      <w:marLeft w:val="0"/>
      <w:marRight w:val="0"/>
      <w:marTop w:val="0"/>
      <w:marBottom w:val="0"/>
      <w:divBdr>
        <w:top w:val="none" w:sz="0" w:space="0" w:color="auto"/>
        <w:left w:val="none" w:sz="0" w:space="0" w:color="auto"/>
        <w:bottom w:val="none" w:sz="0" w:space="0" w:color="auto"/>
        <w:right w:val="none" w:sz="0" w:space="0" w:color="auto"/>
      </w:divBdr>
    </w:div>
    <w:div w:id="508839389">
      <w:bodyDiv w:val="1"/>
      <w:marLeft w:val="0"/>
      <w:marRight w:val="0"/>
      <w:marTop w:val="0"/>
      <w:marBottom w:val="0"/>
      <w:divBdr>
        <w:top w:val="none" w:sz="0" w:space="0" w:color="auto"/>
        <w:left w:val="none" w:sz="0" w:space="0" w:color="auto"/>
        <w:bottom w:val="none" w:sz="0" w:space="0" w:color="auto"/>
        <w:right w:val="none" w:sz="0" w:space="0" w:color="auto"/>
      </w:divBdr>
      <w:divsChild>
        <w:div w:id="852956495">
          <w:marLeft w:val="0"/>
          <w:marRight w:val="0"/>
          <w:marTop w:val="0"/>
          <w:marBottom w:val="0"/>
          <w:divBdr>
            <w:top w:val="none" w:sz="0" w:space="0" w:color="auto"/>
            <w:left w:val="none" w:sz="0" w:space="0" w:color="auto"/>
            <w:bottom w:val="none" w:sz="0" w:space="0" w:color="auto"/>
            <w:right w:val="none" w:sz="0" w:space="0" w:color="auto"/>
          </w:divBdr>
          <w:divsChild>
            <w:div w:id="16815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89">
      <w:bodyDiv w:val="1"/>
      <w:marLeft w:val="0"/>
      <w:marRight w:val="0"/>
      <w:marTop w:val="0"/>
      <w:marBottom w:val="0"/>
      <w:divBdr>
        <w:top w:val="none" w:sz="0" w:space="0" w:color="auto"/>
        <w:left w:val="none" w:sz="0" w:space="0" w:color="auto"/>
        <w:bottom w:val="none" w:sz="0" w:space="0" w:color="auto"/>
        <w:right w:val="none" w:sz="0" w:space="0" w:color="auto"/>
      </w:divBdr>
      <w:divsChild>
        <w:div w:id="428085391">
          <w:marLeft w:val="0"/>
          <w:marRight w:val="0"/>
          <w:marTop w:val="0"/>
          <w:marBottom w:val="0"/>
          <w:divBdr>
            <w:top w:val="none" w:sz="0" w:space="0" w:color="auto"/>
            <w:left w:val="none" w:sz="0" w:space="0" w:color="auto"/>
            <w:bottom w:val="none" w:sz="0" w:space="0" w:color="auto"/>
            <w:right w:val="none" w:sz="0" w:space="0" w:color="auto"/>
          </w:divBdr>
          <w:divsChild>
            <w:div w:id="9109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8955">
      <w:bodyDiv w:val="1"/>
      <w:marLeft w:val="0"/>
      <w:marRight w:val="0"/>
      <w:marTop w:val="0"/>
      <w:marBottom w:val="0"/>
      <w:divBdr>
        <w:top w:val="none" w:sz="0" w:space="0" w:color="auto"/>
        <w:left w:val="none" w:sz="0" w:space="0" w:color="auto"/>
        <w:bottom w:val="none" w:sz="0" w:space="0" w:color="auto"/>
        <w:right w:val="none" w:sz="0" w:space="0" w:color="auto"/>
      </w:divBdr>
    </w:div>
    <w:div w:id="1453286559">
      <w:bodyDiv w:val="1"/>
      <w:marLeft w:val="0"/>
      <w:marRight w:val="0"/>
      <w:marTop w:val="0"/>
      <w:marBottom w:val="0"/>
      <w:divBdr>
        <w:top w:val="none" w:sz="0" w:space="0" w:color="auto"/>
        <w:left w:val="none" w:sz="0" w:space="0" w:color="auto"/>
        <w:bottom w:val="none" w:sz="0" w:space="0" w:color="auto"/>
        <w:right w:val="none" w:sz="0" w:space="0" w:color="auto"/>
      </w:divBdr>
    </w:div>
    <w:div w:id="1474328177">
      <w:bodyDiv w:val="1"/>
      <w:marLeft w:val="0"/>
      <w:marRight w:val="0"/>
      <w:marTop w:val="0"/>
      <w:marBottom w:val="0"/>
      <w:divBdr>
        <w:top w:val="none" w:sz="0" w:space="0" w:color="auto"/>
        <w:left w:val="none" w:sz="0" w:space="0" w:color="auto"/>
        <w:bottom w:val="none" w:sz="0" w:space="0" w:color="auto"/>
        <w:right w:val="none" w:sz="0" w:space="0" w:color="auto"/>
      </w:divBdr>
    </w:div>
    <w:div w:id="1579707936">
      <w:bodyDiv w:val="1"/>
      <w:marLeft w:val="0"/>
      <w:marRight w:val="0"/>
      <w:marTop w:val="0"/>
      <w:marBottom w:val="0"/>
      <w:divBdr>
        <w:top w:val="none" w:sz="0" w:space="0" w:color="auto"/>
        <w:left w:val="none" w:sz="0" w:space="0" w:color="auto"/>
        <w:bottom w:val="none" w:sz="0" w:space="0" w:color="auto"/>
        <w:right w:val="none" w:sz="0" w:space="0" w:color="auto"/>
      </w:divBdr>
    </w:div>
    <w:div w:id="1742945270">
      <w:bodyDiv w:val="1"/>
      <w:marLeft w:val="0"/>
      <w:marRight w:val="0"/>
      <w:marTop w:val="0"/>
      <w:marBottom w:val="0"/>
      <w:divBdr>
        <w:top w:val="none" w:sz="0" w:space="0" w:color="auto"/>
        <w:left w:val="none" w:sz="0" w:space="0" w:color="auto"/>
        <w:bottom w:val="none" w:sz="0" w:space="0" w:color="auto"/>
        <w:right w:val="none" w:sz="0" w:space="0" w:color="auto"/>
      </w:divBdr>
      <w:divsChild>
        <w:div w:id="727074978">
          <w:marLeft w:val="0"/>
          <w:marRight w:val="0"/>
          <w:marTop w:val="0"/>
          <w:marBottom w:val="0"/>
          <w:divBdr>
            <w:top w:val="none" w:sz="0" w:space="0" w:color="auto"/>
            <w:left w:val="none" w:sz="0" w:space="0" w:color="auto"/>
            <w:bottom w:val="none" w:sz="0" w:space="0" w:color="auto"/>
            <w:right w:val="none" w:sz="0" w:space="0" w:color="auto"/>
          </w:divBdr>
          <w:divsChild>
            <w:div w:id="2601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39507">
      <w:bodyDiv w:val="1"/>
      <w:marLeft w:val="0"/>
      <w:marRight w:val="0"/>
      <w:marTop w:val="0"/>
      <w:marBottom w:val="0"/>
      <w:divBdr>
        <w:top w:val="none" w:sz="0" w:space="0" w:color="auto"/>
        <w:left w:val="none" w:sz="0" w:space="0" w:color="auto"/>
        <w:bottom w:val="none" w:sz="0" w:space="0" w:color="auto"/>
        <w:right w:val="none" w:sz="0" w:space="0" w:color="auto"/>
      </w:divBdr>
      <w:divsChild>
        <w:div w:id="2066946368">
          <w:marLeft w:val="0"/>
          <w:marRight w:val="0"/>
          <w:marTop w:val="0"/>
          <w:marBottom w:val="0"/>
          <w:divBdr>
            <w:top w:val="none" w:sz="0" w:space="0" w:color="auto"/>
            <w:left w:val="none" w:sz="0" w:space="0" w:color="auto"/>
            <w:bottom w:val="none" w:sz="0" w:space="0" w:color="auto"/>
            <w:right w:val="none" w:sz="0" w:space="0" w:color="auto"/>
          </w:divBdr>
          <w:divsChild>
            <w:div w:id="438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AUTO/?uri=CELEX:32002F0584&amp;qid=1527174792892&amp;rid=1" TargetMode="External"/><Relationship Id="rId18" Type="http://schemas.openxmlformats.org/officeDocument/2006/relationships/hyperlink" Target="http://data.europa.eu/eli/dec_framw/2008/909/oj" TargetMode="External"/><Relationship Id="rId26" Type="http://schemas.openxmlformats.org/officeDocument/2006/relationships/hyperlink" Target="http://data.europa.eu/eli/reg/2013/606/oj" TargetMode="External"/><Relationship Id="rId39" Type="http://schemas.openxmlformats.org/officeDocument/2006/relationships/hyperlink" Target="http://data.europa.eu/eli/dir/2017/541/oj" TargetMode="External"/><Relationship Id="rId21" Type="http://schemas.openxmlformats.org/officeDocument/2006/relationships/hyperlink" Target="http://data.europa.eu/eli/dec_framw/2009/829/oj" TargetMode="External"/><Relationship Id="rId34" Type="http://schemas.openxmlformats.org/officeDocument/2006/relationships/hyperlink" Target="http://data.europa.eu/eli/dir/2016/800/oj" TargetMode="External"/><Relationship Id="rId42" Type="http://schemas.openxmlformats.org/officeDocument/2006/relationships/hyperlink" Target="http://data.europa.eu/eli/dir/2019/1937/oj" TargetMode="External"/><Relationship Id="rId47" Type="http://schemas.openxmlformats.org/officeDocument/2006/relationships/hyperlink" Target="http://data.europa.eu/eli/dir/2024/1226/oj"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ata.europa.eu/eli/dir/2004/80/oj" TargetMode="External"/><Relationship Id="rId29" Type="http://schemas.openxmlformats.org/officeDocument/2006/relationships/hyperlink" Target="http://data.europa.eu/eli/reg/2014/655/oj" TargetMode="External"/><Relationship Id="rId11" Type="http://schemas.openxmlformats.org/officeDocument/2006/relationships/footer" Target="footer3.xml"/><Relationship Id="rId24" Type="http://schemas.openxmlformats.org/officeDocument/2006/relationships/hyperlink" Target="http://data.europa.eu/eli/dir/2012/13/oj" TargetMode="External"/><Relationship Id="rId32" Type="http://schemas.openxmlformats.org/officeDocument/2006/relationships/hyperlink" Target="http://data.europa.eu/eli/reg/2015/2421/oj" TargetMode="External"/><Relationship Id="rId37" Type="http://schemas.openxmlformats.org/officeDocument/2006/relationships/hyperlink" Target="http://data.europa.eu/eli/reg/2016/1191/oj" TargetMode="External"/><Relationship Id="rId40" Type="http://schemas.openxmlformats.org/officeDocument/2006/relationships/hyperlink" Target="http://data.europa.eu/eli/reg/2018/1805/oj" TargetMode="External"/><Relationship Id="rId45" Type="http://schemas.openxmlformats.org/officeDocument/2006/relationships/hyperlink" Target="http://data.europa.eu/eli/reg/2023/2844/oj" TargetMode="External"/><Relationship Id="rId5" Type="http://schemas.openxmlformats.org/officeDocument/2006/relationships/webSettings" Target="webSettings.xml"/><Relationship Id="rId15" Type="http://schemas.openxmlformats.org/officeDocument/2006/relationships/hyperlink" Target="http://data.europa.eu/eli/dec_framw/2002/584/oj" TargetMode="External"/><Relationship Id="rId23" Type="http://schemas.openxmlformats.org/officeDocument/2006/relationships/hyperlink" Target="http://data.europa.eu/eli/dir/2011/99/oj" TargetMode="External"/><Relationship Id="rId28" Type="http://schemas.openxmlformats.org/officeDocument/2006/relationships/hyperlink" Target="http://data.europa.eu/eli/dir/2014/41/oj" TargetMode="External"/><Relationship Id="rId36" Type="http://schemas.openxmlformats.org/officeDocument/2006/relationships/hyperlink" Target="http://data.europa.eu/eli/reg/2016/1104/oj"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data.europa.eu/eli/dec_framw/2008/947/oj" TargetMode="External"/><Relationship Id="rId31" Type="http://schemas.openxmlformats.org/officeDocument/2006/relationships/hyperlink" Target="http://data.europa.eu/eli/reg/2015/848/oj" TargetMode="External"/><Relationship Id="rId44" Type="http://schemas.openxmlformats.org/officeDocument/2006/relationships/hyperlink" Target="http://data.europa.eu/eli/dir/2023/1544/o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ur-lex.europa.eu/legal-content/AUTO/?uri=CELEX:32002F0584&amp;qid=1527174792892&amp;rid=1" TargetMode="External"/><Relationship Id="rId22" Type="http://schemas.openxmlformats.org/officeDocument/2006/relationships/hyperlink" Target="http://data.europa.eu/eli/dir/2010/64/oj" TargetMode="External"/><Relationship Id="rId27" Type="http://schemas.openxmlformats.org/officeDocument/2006/relationships/hyperlink" Target="http://data.europa.eu/eli/dir/2013/48/oj" TargetMode="External"/><Relationship Id="rId30" Type="http://schemas.openxmlformats.org/officeDocument/2006/relationships/hyperlink" Target="http://data.europa.eu/eli/reg/2014/910/oj" TargetMode="External"/><Relationship Id="rId35" Type="http://schemas.openxmlformats.org/officeDocument/2006/relationships/hyperlink" Target="http://data.europa.eu/eli/reg/2016/1103/oj" TargetMode="External"/><Relationship Id="rId43" Type="http://schemas.openxmlformats.org/officeDocument/2006/relationships/hyperlink" Target="http://datauropa.eu/eli/reg/2023/1543/oj" TargetMode="External"/><Relationship Id="rId48" Type="http://schemas.openxmlformats.org/officeDocument/2006/relationships/hyperlink" Target="http://data.europa.eu/eli/reg/2024/3011/oj"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eur-lex.europa.eu/legal-content/AUTO/?uri=CELEX:32002F0584&amp;qid=1527174792892&amp;rid=1" TargetMode="External"/><Relationship Id="rId17" Type="http://schemas.openxmlformats.org/officeDocument/2006/relationships/hyperlink" Target="http://data.europa.eu/eli/dec_framw/2005/214/oj" TargetMode="External"/><Relationship Id="rId25" Type="http://schemas.openxmlformats.org/officeDocument/2006/relationships/hyperlink" Target="http://data.europa.eu/eli/dir/2012/29/oj" TargetMode="External"/><Relationship Id="rId33" Type="http://schemas.openxmlformats.org/officeDocument/2006/relationships/hyperlink" Target="http://data.europa.eu/eli/dir/2016/343/oj" TargetMode="External"/><Relationship Id="rId38" Type="http://schemas.openxmlformats.org/officeDocument/2006/relationships/hyperlink" Target="http://data.europa.eu/eli/dir/2016/1919/oj" TargetMode="External"/><Relationship Id="rId46" Type="http://schemas.openxmlformats.org/officeDocument/2006/relationships/hyperlink" Target="http://data.europa.eu/eli/dir/2024/1203/oj" TargetMode="External"/><Relationship Id="rId20" Type="http://schemas.openxmlformats.org/officeDocument/2006/relationships/hyperlink" Target="http://data.europa.eu/eli/dec_framw/2008/913/oj" TargetMode="External"/><Relationship Id="rId41" Type="http://schemas.openxmlformats.org/officeDocument/2006/relationships/hyperlink" Target="http://data.europa.eu/eli/reg/2019/1111/oj"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trategy-and-policy/policies/justice-and-fundamental-rights/upholding-rule-law/eu-justice-scoreboard_en" TargetMode="External"/><Relationship Id="rId13" Type="http://schemas.openxmlformats.org/officeDocument/2006/relationships/hyperlink" Target="https://victims-rights.campaign.europa.eu/en/country/belgium" TargetMode="External"/><Relationship Id="rId18" Type="http://schemas.openxmlformats.org/officeDocument/2006/relationships/hyperlink" Target="file:///\\net1.cec.eu.int\JUST\H\3\9.%20JUSTICE\by2026-2027\1.%20WP\2.%20ISC\European%20e-Justice%20Strategy%202024-2028" TargetMode="External"/><Relationship Id="rId26" Type="http://schemas.openxmlformats.org/officeDocument/2006/relationships/hyperlink" Target="https://rm.coe.int/european-prison-rules-978-92-871-5982-3/16806ab9ae" TargetMode="External"/><Relationship Id="rId3" Type="http://schemas.openxmlformats.org/officeDocument/2006/relationships/hyperlink" Target="https://commission.europa.eu/strategy-and-policy/policies/justice-and-fundamental-rights/upholding-rule-law/rule-law/annual-rule-law-cycle_en" TargetMode="External"/><Relationship Id="rId21" Type="http://schemas.openxmlformats.org/officeDocument/2006/relationships/hyperlink" Target="https://eur-lex.europa.eu/eli/C/2025/437/oj/eng" TargetMode="External"/><Relationship Id="rId7" Type="http://schemas.openxmlformats.org/officeDocument/2006/relationships/hyperlink" Target="https://single-market-economy.ec.europa.eu/publications/2025-annual-single-market-and-competitiveness-report_en" TargetMode="External"/><Relationship Id="rId12" Type="http://schemas.openxmlformats.org/officeDocument/2006/relationships/hyperlink" Target="https://eur-lex.europa.eu/legal-content/EN/TXT/?uri=CELEX%3A52020DC0711&amp;qid=1608047356199" TargetMode="External"/><Relationship Id="rId17" Type="http://schemas.openxmlformats.org/officeDocument/2006/relationships/hyperlink" Target="https://e-justice.europa.eu/home_en" TargetMode="External"/><Relationship Id="rId25" Type="http://schemas.openxmlformats.org/officeDocument/2006/relationships/hyperlink" Target="http://data.europa.eu/eli/reg/2016/369/oj" TargetMode="External"/><Relationship Id="rId2" Type="http://schemas.openxmlformats.org/officeDocument/2006/relationships/hyperlink" Target="https://commission.europa.eu/document/download/e6cd4328-673c-4e7a-8683-f63ffb2cf648_en?filename=Political%20Guidelines%202024-2029_EN.pdf" TargetMode="External"/><Relationship Id="rId16" Type="http://schemas.openxmlformats.org/officeDocument/2006/relationships/hyperlink" Target="http://data.europa.eu/eli/reco/2024/1238/oj" TargetMode="External"/><Relationship Id="rId20" Type="http://schemas.openxmlformats.org/officeDocument/2006/relationships/hyperlink" Target="https://ec.europa.eu/info/funding-tenders/opportunities/docs/2021-2027/just/guidance/list-3rd-country-participation_just_en.pdf" TargetMode="External"/><Relationship Id="rId29" Type="http://schemas.openxmlformats.org/officeDocument/2006/relationships/hyperlink" Target="http://data.europa.eu/eli/dec/2006/719/oj" TargetMode="External"/><Relationship Id="rId1" Type="http://schemas.openxmlformats.org/officeDocument/2006/relationships/hyperlink" Target="http://data.europa.eu/eli/reg/2021/693/oj" TargetMode="External"/><Relationship Id="rId6" Type="http://schemas.openxmlformats.org/officeDocument/2006/relationships/hyperlink" Target="https://commission.europa.eu/topics/eu-competitiveness/competitiveness-compass_en" TargetMode="External"/><Relationship Id="rId11" Type="http://schemas.openxmlformats.org/officeDocument/2006/relationships/hyperlink" Target="http://data.europa.eu/eli/treaty/char_2016/oj" TargetMode="External"/><Relationship Id="rId24" Type="http://schemas.openxmlformats.org/officeDocument/2006/relationships/hyperlink" Target="http://data.europa.eu/eli/reg/2016/369/oj" TargetMode="External"/><Relationship Id="rId5" Type="http://schemas.openxmlformats.org/officeDocument/2006/relationships/hyperlink" Target="https://eur-lex.europa.eu/legal-content/EN/ALL/?uri=COM:2019:343:FIN" TargetMode="External"/><Relationship Id="rId15" Type="http://schemas.openxmlformats.org/officeDocument/2006/relationships/hyperlink" Target="https://eur-lex.europa.eu/legal-content/EN/TXT/?uri=celex%3A32024H1238" TargetMode="External"/><Relationship Id="rId23" Type="http://schemas.openxmlformats.org/officeDocument/2006/relationships/hyperlink" Target="http://data.europa.eu/eli/reg/2016/369/oj" TargetMode="External"/><Relationship Id="rId28" Type="http://schemas.openxmlformats.org/officeDocument/2006/relationships/hyperlink" Target="http://eur-lex.europa.eu/legal-content/EN/TXT/?uri=CELEX:32006D0719," TargetMode="External"/><Relationship Id="rId10" Type="http://schemas.openxmlformats.org/officeDocument/2006/relationships/hyperlink" Target="https://commission.europa.eu/document/b59ddb88-b9c3-420c-98d5-622807f8729b_en" TargetMode="External"/><Relationship Id="rId19" Type="http://schemas.openxmlformats.org/officeDocument/2006/relationships/hyperlink" Target="http://data.europa.eu/eli/C/2025/437/oj" TargetMode="External"/><Relationship Id="rId4" Type="http://schemas.openxmlformats.org/officeDocument/2006/relationships/hyperlink" Target="https://commission.europa.eu/publications/2024-rule-law-report-communication-and-country-chapters_en" TargetMode="External"/><Relationship Id="rId9" Type="http://schemas.openxmlformats.org/officeDocument/2006/relationships/hyperlink" Target="https://www.consilium.europa.eu/en/press/press-releases/2024/12/12/justice-and-home-affairs-ministers-define-priorities-for-next-five-years/" TargetMode="External"/><Relationship Id="rId14" Type="http://schemas.openxmlformats.org/officeDocument/2006/relationships/hyperlink" Target="https://eur-lex.europa.eu/legal-content/en/TXT/?uri=CELEX%3A52021DC0142" TargetMode="External"/><Relationship Id="rId22" Type="http://schemas.openxmlformats.org/officeDocument/2006/relationships/hyperlink" Target="http://data.europa.eu/eli/C/2025/437/oj" TargetMode="External"/><Relationship Id="rId27" Type="http://schemas.openxmlformats.org/officeDocument/2006/relationships/hyperlink" Target="http://data.europa.eu/eli/reco/2023/681/oj" TargetMode="External"/><Relationship Id="rId30" Type="http://schemas.openxmlformats.org/officeDocument/2006/relationships/hyperlink" Target="https://assets.hcch.net/docs/d7d051ae-6dd1-4881-a3b5-f7dbcaad02e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5900B-0C46-4821-B9EE-4841DC5D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4</TotalTime>
  <Pages>31</Pages>
  <Words>12023</Words>
  <Characters>69616</Characters>
  <Application>Microsoft Office Word</Application>
  <DocSecurity>0</DocSecurity>
  <Lines>1365</Lines>
  <Paragraphs>680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80959</CharactersWithSpaces>
  <SharedDoc>false</SharedDoc>
  <HLinks>
    <vt:vector size="630" baseType="variant">
      <vt:variant>
        <vt:i4>7602277</vt:i4>
      </vt:variant>
      <vt:variant>
        <vt:i4>318</vt:i4>
      </vt:variant>
      <vt:variant>
        <vt:i4>0</vt:i4>
      </vt:variant>
      <vt:variant>
        <vt:i4>5</vt:i4>
      </vt:variant>
      <vt:variant>
        <vt:lpwstr>https://eur-lex.europa.eu/eli/dir/2024/1203/oj/eng</vt:lpwstr>
      </vt:variant>
      <vt:variant>
        <vt:lpwstr/>
      </vt:variant>
      <vt:variant>
        <vt:i4>1310839</vt:i4>
      </vt:variant>
      <vt:variant>
        <vt:i4>315</vt:i4>
      </vt:variant>
      <vt:variant>
        <vt:i4>0</vt:i4>
      </vt:variant>
      <vt:variant>
        <vt:i4>5</vt:i4>
      </vt:variant>
      <vt:variant>
        <vt:lpwstr>https://eur-lex.europa.eu/legal-content/EN/TXT/HTML/?uri=OJ:L_202403011</vt:lpwstr>
      </vt:variant>
      <vt:variant>
        <vt:lpwstr/>
      </vt:variant>
      <vt:variant>
        <vt:i4>7798885</vt:i4>
      </vt:variant>
      <vt:variant>
        <vt:i4>312</vt:i4>
      </vt:variant>
      <vt:variant>
        <vt:i4>0</vt:i4>
      </vt:variant>
      <vt:variant>
        <vt:i4>5</vt:i4>
      </vt:variant>
      <vt:variant>
        <vt:lpwstr>https://eur-lex.europa.eu/eli/dir/2023/1544/oj/eng</vt:lpwstr>
      </vt:variant>
      <vt:variant>
        <vt:lpwstr/>
      </vt:variant>
      <vt:variant>
        <vt:i4>8061025</vt:i4>
      </vt:variant>
      <vt:variant>
        <vt:i4>309</vt:i4>
      </vt:variant>
      <vt:variant>
        <vt:i4>0</vt:i4>
      </vt:variant>
      <vt:variant>
        <vt:i4>5</vt:i4>
      </vt:variant>
      <vt:variant>
        <vt:lpwstr>https://eur-lex.europa.eu/eli/reg/2023/1543/oj/eng</vt:lpwstr>
      </vt:variant>
      <vt:variant>
        <vt:lpwstr/>
      </vt:variant>
      <vt:variant>
        <vt:i4>1507455</vt:i4>
      </vt:variant>
      <vt:variant>
        <vt:i4>306</vt:i4>
      </vt:variant>
      <vt:variant>
        <vt:i4>0</vt:i4>
      </vt:variant>
      <vt:variant>
        <vt:i4>5</vt:i4>
      </vt:variant>
      <vt:variant>
        <vt:lpwstr>https://eur-lex.europa.eu/legal-content/EN/TXT/HTML/?uri=OJ:L_202302844</vt:lpwstr>
      </vt:variant>
      <vt:variant>
        <vt:lpwstr/>
      </vt:variant>
      <vt:variant>
        <vt:i4>1507455</vt:i4>
      </vt:variant>
      <vt:variant>
        <vt:i4>303</vt:i4>
      </vt:variant>
      <vt:variant>
        <vt:i4>0</vt:i4>
      </vt:variant>
      <vt:variant>
        <vt:i4>5</vt:i4>
      </vt:variant>
      <vt:variant>
        <vt:lpwstr>https://eur-lex.europa.eu/legal-content/EN/TXT/HTML/?uri=OJ:L_202302844</vt:lpwstr>
      </vt:variant>
      <vt:variant>
        <vt:lpwstr/>
      </vt:variant>
      <vt:variant>
        <vt:i4>1507455</vt:i4>
      </vt:variant>
      <vt:variant>
        <vt:i4>300</vt:i4>
      </vt:variant>
      <vt:variant>
        <vt:i4>0</vt:i4>
      </vt:variant>
      <vt:variant>
        <vt:i4>5</vt:i4>
      </vt:variant>
      <vt:variant>
        <vt:lpwstr>https://eur-lex.europa.eu/legal-content/EN/TXT/HTML/?uri=OJ:L_202302844</vt:lpwstr>
      </vt:variant>
      <vt:variant>
        <vt:lpwstr/>
      </vt:variant>
      <vt:variant>
        <vt:i4>2293793</vt:i4>
      </vt:variant>
      <vt:variant>
        <vt:i4>297</vt:i4>
      </vt:variant>
      <vt:variant>
        <vt:i4>0</vt:i4>
      </vt:variant>
      <vt:variant>
        <vt:i4>5</vt:i4>
      </vt:variant>
      <vt:variant>
        <vt:lpwstr>http://eur-lex.europa.eu/legal-content/EN/TXT/?uri=CELEX:32008F0913</vt:lpwstr>
      </vt:variant>
      <vt:variant>
        <vt:lpwstr/>
      </vt:variant>
      <vt:variant>
        <vt:i4>7536687</vt:i4>
      </vt:variant>
      <vt:variant>
        <vt:i4>294</vt:i4>
      </vt:variant>
      <vt:variant>
        <vt:i4>0</vt:i4>
      </vt:variant>
      <vt:variant>
        <vt:i4>5</vt:i4>
      </vt:variant>
      <vt:variant>
        <vt:lpwstr>http://eur-lex.europa.eu/legal-</vt:lpwstr>
      </vt:variant>
      <vt:variant>
        <vt:lpwstr/>
      </vt:variant>
      <vt:variant>
        <vt:i4>3014698</vt:i4>
      </vt:variant>
      <vt:variant>
        <vt:i4>291</vt:i4>
      </vt:variant>
      <vt:variant>
        <vt:i4>0</vt:i4>
      </vt:variant>
      <vt:variant>
        <vt:i4>5</vt:i4>
      </vt:variant>
      <vt:variant>
        <vt:lpwstr>http://eur-lex.europa.eu/legal-content/EN/TXT/?uri=CELEX:32005F0214</vt:lpwstr>
      </vt:variant>
      <vt:variant>
        <vt:lpwstr/>
      </vt:variant>
      <vt:variant>
        <vt:i4>3014698</vt:i4>
      </vt:variant>
      <vt:variant>
        <vt:i4>288</vt:i4>
      </vt:variant>
      <vt:variant>
        <vt:i4>0</vt:i4>
      </vt:variant>
      <vt:variant>
        <vt:i4>5</vt:i4>
      </vt:variant>
      <vt:variant>
        <vt:lpwstr>http://eur-lex.europa.eu/legal-content/EN/TXT/?uri=CELEX:32005F0214</vt:lpwstr>
      </vt:variant>
      <vt:variant>
        <vt:lpwstr/>
      </vt:variant>
      <vt:variant>
        <vt:i4>2162720</vt:i4>
      </vt:variant>
      <vt:variant>
        <vt:i4>285</vt:i4>
      </vt:variant>
      <vt:variant>
        <vt:i4>0</vt:i4>
      </vt:variant>
      <vt:variant>
        <vt:i4>5</vt:i4>
      </vt:variant>
      <vt:variant>
        <vt:lpwstr>http://eur-lex.europa.eu/legal-content/EN/TXT/?uri=CELEX:32009F0829</vt:lpwstr>
      </vt:variant>
      <vt:variant>
        <vt:lpwstr/>
      </vt:variant>
      <vt:variant>
        <vt:i4>2162720</vt:i4>
      </vt:variant>
      <vt:variant>
        <vt:i4>282</vt:i4>
      </vt:variant>
      <vt:variant>
        <vt:i4>0</vt:i4>
      </vt:variant>
      <vt:variant>
        <vt:i4>5</vt:i4>
      </vt:variant>
      <vt:variant>
        <vt:lpwstr>http://eur-lex.europa.eu/legal-content/EN/TXT/?uri=CELEX:32009F0829</vt:lpwstr>
      </vt:variant>
      <vt:variant>
        <vt:lpwstr/>
      </vt:variant>
      <vt:variant>
        <vt:i4>2490401</vt:i4>
      </vt:variant>
      <vt:variant>
        <vt:i4>279</vt:i4>
      </vt:variant>
      <vt:variant>
        <vt:i4>0</vt:i4>
      </vt:variant>
      <vt:variant>
        <vt:i4>5</vt:i4>
      </vt:variant>
      <vt:variant>
        <vt:lpwstr>http://eur-lex.europa.eu/legal-content/EN/TXT/?uri=CELEX:32008F0947</vt:lpwstr>
      </vt:variant>
      <vt:variant>
        <vt:lpwstr/>
      </vt:variant>
      <vt:variant>
        <vt:i4>2490401</vt:i4>
      </vt:variant>
      <vt:variant>
        <vt:i4>276</vt:i4>
      </vt:variant>
      <vt:variant>
        <vt:i4>0</vt:i4>
      </vt:variant>
      <vt:variant>
        <vt:i4>5</vt:i4>
      </vt:variant>
      <vt:variant>
        <vt:lpwstr>http://eur-lex.europa.eu/legal-content/EN/TXT/?uri=CELEX:32008F0947</vt:lpwstr>
      </vt:variant>
      <vt:variant>
        <vt:lpwstr/>
      </vt:variant>
      <vt:variant>
        <vt:i4>2228257</vt:i4>
      </vt:variant>
      <vt:variant>
        <vt:i4>273</vt:i4>
      </vt:variant>
      <vt:variant>
        <vt:i4>0</vt:i4>
      </vt:variant>
      <vt:variant>
        <vt:i4>5</vt:i4>
      </vt:variant>
      <vt:variant>
        <vt:lpwstr>http://eur-lex.europa.eu/legal-content/EN/TXT/?uri=CELEX:32008F0909</vt:lpwstr>
      </vt:variant>
      <vt:variant>
        <vt:lpwstr/>
      </vt:variant>
      <vt:variant>
        <vt:i4>2228257</vt:i4>
      </vt:variant>
      <vt:variant>
        <vt:i4>270</vt:i4>
      </vt:variant>
      <vt:variant>
        <vt:i4>0</vt:i4>
      </vt:variant>
      <vt:variant>
        <vt:i4>5</vt:i4>
      </vt:variant>
      <vt:variant>
        <vt:lpwstr>http://eur-lex.europa.eu/legal-content/EN/TXT/?uri=CELEX:32008F0909</vt:lpwstr>
      </vt:variant>
      <vt:variant>
        <vt:lpwstr/>
      </vt:variant>
      <vt:variant>
        <vt:i4>2097197</vt:i4>
      </vt:variant>
      <vt:variant>
        <vt:i4>267</vt:i4>
      </vt:variant>
      <vt:variant>
        <vt:i4>0</vt:i4>
      </vt:variant>
      <vt:variant>
        <vt:i4>5</vt:i4>
      </vt:variant>
      <vt:variant>
        <vt:lpwstr>http://eur-lex.europa.eu/legal-content/EN/TXT/?uri=CELEX:32002F0584</vt:lpwstr>
      </vt:variant>
      <vt:variant>
        <vt:lpwstr/>
      </vt:variant>
      <vt:variant>
        <vt:i4>2097197</vt:i4>
      </vt:variant>
      <vt:variant>
        <vt:i4>264</vt:i4>
      </vt:variant>
      <vt:variant>
        <vt:i4>0</vt:i4>
      </vt:variant>
      <vt:variant>
        <vt:i4>5</vt:i4>
      </vt:variant>
      <vt:variant>
        <vt:lpwstr>http://eur-lex.europa.eu/legal-content/EN/TXT/?uri=CELEX:32002F0584</vt:lpwstr>
      </vt:variant>
      <vt:variant>
        <vt:lpwstr/>
      </vt:variant>
      <vt:variant>
        <vt:i4>917595</vt:i4>
      </vt:variant>
      <vt:variant>
        <vt:i4>261</vt:i4>
      </vt:variant>
      <vt:variant>
        <vt:i4>0</vt:i4>
      </vt:variant>
      <vt:variant>
        <vt:i4>5</vt:i4>
      </vt:variant>
      <vt:variant>
        <vt:lpwstr>http://eur-lex.europa.eu/legal-content/AUTO/?uri=CELEX:32002F0584&amp;qid=1527174792892&amp;rid=1</vt:lpwstr>
      </vt:variant>
      <vt:variant>
        <vt:lpwstr/>
      </vt:variant>
      <vt:variant>
        <vt:i4>917595</vt:i4>
      </vt:variant>
      <vt:variant>
        <vt:i4>258</vt:i4>
      </vt:variant>
      <vt:variant>
        <vt:i4>0</vt:i4>
      </vt:variant>
      <vt:variant>
        <vt:i4>5</vt:i4>
      </vt:variant>
      <vt:variant>
        <vt:lpwstr>http://eur-lex.europa.eu/legal-content/AUTO/?uri=CELEX:32002F0584&amp;qid=1527174792892&amp;rid=1</vt:lpwstr>
      </vt:variant>
      <vt:variant>
        <vt:lpwstr/>
      </vt:variant>
      <vt:variant>
        <vt:i4>917595</vt:i4>
      </vt:variant>
      <vt:variant>
        <vt:i4>255</vt:i4>
      </vt:variant>
      <vt:variant>
        <vt:i4>0</vt:i4>
      </vt:variant>
      <vt:variant>
        <vt:i4>5</vt:i4>
      </vt:variant>
      <vt:variant>
        <vt:lpwstr>http://eur-lex.europa.eu/legal-content/AUTO/?uri=CELEX:32002F0584&amp;qid=1527174792892&amp;rid=1</vt:lpwstr>
      </vt:variant>
      <vt:variant>
        <vt:lpwstr/>
      </vt:variant>
      <vt:variant>
        <vt:i4>2687011</vt:i4>
      </vt:variant>
      <vt:variant>
        <vt:i4>252</vt:i4>
      </vt:variant>
      <vt:variant>
        <vt:i4>0</vt:i4>
      </vt:variant>
      <vt:variant>
        <vt:i4>5</vt:i4>
      </vt:variant>
      <vt:variant>
        <vt:lpwstr>http://eur-lex.europa.eu/legal-content/EN/TXT/?uri=CELEX:32012L0017</vt:lpwstr>
      </vt:variant>
      <vt:variant>
        <vt:lpwstr/>
      </vt:variant>
      <vt:variant>
        <vt:i4>2687011</vt:i4>
      </vt:variant>
      <vt:variant>
        <vt:i4>249</vt:i4>
      </vt:variant>
      <vt:variant>
        <vt:i4>0</vt:i4>
      </vt:variant>
      <vt:variant>
        <vt:i4>5</vt:i4>
      </vt:variant>
      <vt:variant>
        <vt:lpwstr>http://eur-lex.europa.eu/legal-content/EN/TXT/?uri=CELEX:32012L0017</vt:lpwstr>
      </vt:variant>
      <vt:variant>
        <vt:lpwstr/>
      </vt:variant>
      <vt:variant>
        <vt:i4>2752547</vt:i4>
      </vt:variant>
      <vt:variant>
        <vt:i4>246</vt:i4>
      </vt:variant>
      <vt:variant>
        <vt:i4>0</vt:i4>
      </vt:variant>
      <vt:variant>
        <vt:i4>5</vt:i4>
      </vt:variant>
      <vt:variant>
        <vt:lpwstr>http://eur-lex.europa.eu/legal-content/EN/TXT/?uri=CELEX:32014L0041</vt:lpwstr>
      </vt:variant>
      <vt:variant>
        <vt:lpwstr/>
      </vt:variant>
      <vt:variant>
        <vt:i4>2752547</vt:i4>
      </vt:variant>
      <vt:variant>
        <vt:i4>243</vt:i4>
      </vt:variant>
      <vt:variant>
        <vt:i4>0</vt:i4>
      </vt:variant>
      <vt:variant>
        <vt:i4>5</vt:i4>
      </vt:variant>
      <vt:variant>
        <vt:lpwstr>http://eur-lex.europa.eu/legal-content/EN/TXT/?uri=CELEX:32014L0041</vt:lpwstr>
      </vt:variant>
      <vt:variant>
        <vt:lpwstr/>
      </vt:variant>
      <vt:variant>
        <vt:i4>7536687</vt:i4>
      </vt:variant>
      <vt:variant>
        <vt:i4>240</vt:i4>
      </vt:variant>
      <vt:variant>
        <vt:i4>0</vt:i4>
      </vt:variant>
      <vt:variant>
        <vt:i4>5</vt:i4>
      </vt:variant>
      <vt:variant>
        <vt:lpwstr>http://eur-lex.europa.eu/legal-</vt:lpwstr>
      </vt:variant>
      <vt:variant>
        <vt:lpwstr/>
      </vt:variant>
      <vt:variant>
        <vt:i4>2228259</vt:i4>
      </vt:variant>
      <vt:variant>
        <vt:i4>237</vt:i4>
      </vt:variant>
      <vt:variant>
        <vt:i4>0</vt:i4>
      </vt:variant>
      <vt:variant>
        <vt:i4>5</vt:i4>
      </vt:variant>
      <vt:variant>
        <vt:lpwstr>http://eur-lex.europa.eu/legal-content/EN/TXT/?uri=CELEX:32011L0099</vt:lpwstr>
      </vt:variant>
      <vt:variant>
        <vt:lpwstr/>
      </vt:variant>
      <vt:variant>
        <vt:i4>2228259</vt:i4>
      </vt:variant>
      <vt:variant>
        <vt:i4>234</vt:i4>
      </vt:variant>
      <vt:variant>
        <vt:i4>0</vt:i4>
      </vt:variant>
      <vt:variant>
        <vt:i4>5</vt:i4>
      </vt:variant>
      <vt:variant>
        <vt:lpwstr>http://eur-lex.europa.eu/legal-content/EN/TXT/?uri=CELEX:32011L0099</vt:lpwstr>
      </vt:variant>
      <vt:variant>
        <vt:lpwstr/>
      </vt:variant>
      <vt:variant>
        <vt:i4>1376322</vt:i4>
      </vt:variant>
      <vt:variant>
        <vt:i4>231</vt:i4>
      </vt:variant>
      <vt:variant>
        <vt:i4>0</vt:i4>
      </vt:variant>
      <vt:variant>
        <vt:i4>5</vt:i4>
      </vt:variant>
      <vt:variant>
        <vt:lpwstr>https://eur-lex.europa.eu/legal-content/EN/TXT/?uri=celex:32013R0606</vt:lpwstr>
      </vt:variant>
      <vt:variant>
        <vt:lpwstr/>
      </vt:variant>
      <vt:variant>
        <vt:i4>1376322</vt:i4>
      </vt:variant>
      <vt:variant>
        <vt:i4>228</vt:i4>
      </vt:variant>
      <vt:variant>
        <vt:i4>0</vt:i4>
      </vt:variant>
      <vt:variant>
        <vt:i4>5</vt:i4>
      </vt:variant>
      <vt:variant>
        <vt:lpwstr>https://eur-lex.europa.eu/legal-content/EN/TXT/?uri=celex:32013R0606</vt:lpwstr>
      </vt:variant>
      <vt:variant>
        <vt:lpwstr/>
      </vt:variant>
      <vt:variant>
        <vt:i4>2490402</vt:i4>
      </vt:variant>
      <vt:variant>
        <vt:i4>225</vt:i4>
      </vt:variant>
      <vt:variant>
        <vt:i4>0</vt:i4>
      </vt:variant>
      <vt:variant>
        <vt:i4>5</vt:i4>
      </vt:variant>
      <vt:variant>
        <vt:lpwstr>http://eur-lex.europa.eu/legal-content/EN/TXT/?uri=CELEX:32004L0080</vt:lpwstr>
      </vt:variant>
      <vt:variant>
        <vt:lpwstr/>
      </vt:variant>
      <vt:variant>
        <vt:i4>2490402</vt:i4>
      </vt:variant>
      <vt:variant>
        <vt:i4>222</vt:i4>
      </vt:variant>
      <vt:variant>
        <vt:i4>0</vt:i4>
      </vt:variant>
      <vt:variant>
        <vt:i4>5</vt:i4>
      </vt:variant>
      <vt:variant>
        <vt:lpwstr>http://eur-lex.europa.eu/legal-content/EN/TXT/?uri=CELEX:32004L0080</vt:lpwstr>
      </vt:variant>
      <vt:variant>
        <vt:lpwstr/>
      </vt:variant>
      <vt:variant>
        <vt:i4>2752547</vt:i4>
      </vt:variant>
      <vt:variant>
        <vt:i4>219</vt:i4>
      </vt:variant>
      <vt:variant>
        <vt:i4>0</vt:i4>
      </vt:variant>
      <vt:variant>
        <vt:i4>5</vt:i4>
      </vt:variant>
      <vt:variant>
        <vt:lpwstr>http://eur-lex.europa.eu/legal-content/EN/TXT/?uri=CELEX:32012L0029</vt:lpwstr>
      </vt:variant>
      <vt:variant>
        <vt:lpwstr/>
      </vt:variant>
      <vt:variant>
        <vt:i4>2752547</vt:i4>
      </vt:variant>
      <vt:variant>
        <vt:i4>216</vt:i4>
      </vt:variant>
      <vt:variant>
        <vt:i4>0</vt:i4>
      </vt:variant>
      <vt:variant>
        <vt:i4>5</vt:i4>
      </vt:variant>
      <vt:variant>
        <vt:lpwstr>http://eur-lex.europa.eu/legal-content/EN/TXT/?uri=CELEX:32012L0029</vt:lpwstr>
      </vt:variant>
      <vt:variant>
        <vt:lpwstr/>
      </vt:variant>
      <vt:variant>
        <vt:i4>720967</vt:i4>
      </vt:variant>
      <vt:variant>
        <vt:i4>213</vt:i4>
      </vt:variant>
      <vt:variant>
        <vt:i4>0</vt:i4>
      </vt:variant>
      <vt:variant>
        <vt:i4>5</vt:i4>
      </vt:variant>
      <vt:variant>
        <vt:lpwstr>https://eur-lex.europa.eu/legal-content/EN/TXT/?uri=CELEX:32016L1919</vt:lpwstr>
      </vt:variant>
      <vt:variant>
        <vt:lpwstr/>
      </vt:variant>
      <vt:variant>
        <vt:i4>720967</vt:i4>
      </vt:variant>
      <vt:variant>
        <vt:i4>210</vt:i4>
      </vt:variant>
      <vt:variant>
        <vt:i4>0</vt:i4>
      </vt:variant>
      <vt:variant>
        <vt:i4>5</vt:i4>
      </vt:variant>
      <vt:variant>
        <vt:lpwstr>https://eur-lex.europa.eu/legal-content/EN/TXT/?uri=CELEX:32016L1919</vt:lpwstr>
      </vt:variant>
      <vt:variant>
        <vt:lpwstr/>
      </vt:variant>
      <vt:variant>
        <vt:i4>196679</vt:i4>
      </vt:variant>
      <vt:variant>
        <vt:i4>207</vt:i4>
      </vt:variant>
      <vt:variant>
        <vt:i4>0</vt:i4>
      </vt:variant>
      <vt:variant>
        <vt:i4>5</vt:i4>
      </vt:variant>
      <vt:variant>
        <vt:lpwstr>https://eur-lex.europa.eu/legal-content/EN/TXT/?uri=CELEX:32016L0800</vt:lpwstr>
      </vt:variant>
      <vt:variant>
        <vt:lpwstr/>
      </vt:variant>
      <vt:variant>
        <vt:i4>196679</vt:i4>
      </vt:variant>
      <vt:variant>
        <vt:i4>204</vt:i4>
      </vt:variant>
      <vt:variant>
        <vt:i4>0</vt:i4>
      </vt:variant>
      <vt:variant>
        <vt:i4>5</vt:i4>
      </vt:variant>
      <vt:variant>
        <vt:lpwstr>https://eur-lex.europa.eu/legal-content/EN/TXT/?uri=CELEX:32016L0800</vt:lpwstr>
      </vt:variant>
      <vt:variant>
        <vt:lpwstr/>
      </vt:variant>
      <vt:variant>
        <vt:i4>196679</vt:i4>
      </vt:variant>
      <vt:variant>
        <vt:i4>201</vt:i4>
      </vt:variant>
      <vt:variant>
        <vt:i4>0</vt:i4>
      </vt:variant>
      <vt:variant>
        <vt:i4>5</vt:i4>
      </vt:variant>
      <vt:variant>
        <vt:lpwstr>https://eur-lex.europa.eu/legal-content/EN/TXT/?uri=CELEX:32016L0800</vt:lpwstr>
      </vt:variant>
      <vt:variant>
        <vt:lpwstr/>
      </vt:variant>
      <vt:variant>
        <vt:i4>6226002</vt:i4>
      </vt:variant>
      <vt:variant>
        <vt:i4>198</vt:i4>
      </vt:variant>
      <vt:variant>
        <vt:i4>0</vt:i4>
      </vt:variant>
      <vt:variant>
        <vt:i4>5</vt:i4>
      </vt:variant>
      <vt:variant>
        <vt:lpwstr>https://eur-lex.europa.eu/eli/dir/2016/343/oj</vt:lpwstr>
      </vt:variant>
      <vt:variant>
        <vt:lpwstr/>
      </vt:variant>
      <vt:variant>
        <vt:i4>196678</vt:i4>
      </vt:variant>
      <vt:variant>
        <vt:i4>195</vt:i4>
      </vt:variant>
      <vt:variant>
        <vt:i4>0</vt:i4>
      </vt:variant>
      <vt:variant>
        <vt:i4>5</vt:i4>
      </vt:variant>
      <vt:variant>
        <vt:lpwstr>https://eur-lex.europa.eu/legal-content/EN/TXT/?uri=celex:32013L0048</vt:lpwstr>
      </vt:variant>
      <vt:variant>
        <vt:lpwstr/>
      </vt:variant>
      <vt:variant>
        <vt:i4>196678</vt:i4>
      </vt:variant>
      <vt:variant>
        <vt:i4>192</vt:i4>
      </vt:variant>
      <vt:variant>
        <vt:i4>0</vt:i4>
      </vt:variant>
      <vt:variant>
        <vt:i4>5</vt:i4>
      </vt:variant>
      <vt:variant>
        <vt:lpwstr>https://eur-lex.europa.eu/legal-content/EN/TXT/?uri=celex:32013L0048</vt:lpwstr>
      </vt:variant>
      <vt:variant>
        <vt:lpwstr/>
      </vt:variant>
      <vt:variant>
        <vt:i4>196678</vt:i4>
      </vt:variant>
      <vt:variant>
        <vt:i4>189</vt:i4>
      </vt:variant>
      <vt:variant>
        <vt:i4>0</vt:i4>
      </vt:variant>
      <vt:variant>
        <vt:i4>5</vt:i4>
      </vt:variant>
      <vt:variant>
        <vt:lpwstr>https://eur-lex.europa.eu/legal-content/EN/TXT/?uri=celex:32013L0048</vt:lpwstr>
      </vt:variant>
      <vt:variant>
        <vt:lpwstr/>
      </vt:variant>
      <vt:variant>
        <vt:i4>524354</vt:i4>
      </vt:variant>
      <vt:variant>
        <vt:i4>186</vt:i4>
      </vt:variant>
      <vt:variant>
        <vt:i4>0</vt:i4>
      </vt:variant>
      <vt:variant>
        <vt:i4>5</vt:i4>
      </vt:variant>
      <vt:variant>
        <vt:lpwstr>https://eur-lex.europa.eu/legal-content/EN/TXT/?uri=celex:32012L0013</vt:lpwstr>
      </vt:variant>
      <vt:variant>
        <vt:lpwstr/>
      </vt:variant>
      <vt:variant>
        <vt:i4>524354</vt:i4>
      </vt:variant>
      <vt:variant>
        <vt:i4>183</vt:i4>
      </vt:variant>
      <vt:variant>
        <vt:i4>0</vt:i4>
      </vt:variant>
      <vt:variant>
        <vt:i4>5</vt:i4>
      </vt:variant>
      <vt:variant>
        <vt:lpwstr>https://eur-lex.europa.eu/legal-content/EN/TXT/?uri=celex:32012L0013</vt:lpwstr>
      </vt:variant>
      <vt:variant>
        <vt:lpwstr/>
      </vt:variant>
      <vt:variant>
        <vt:i4>524354</vt:i4>
      </vt:variant>
      <vt:variant>
        <vt:i4>180</vt:i4>
      </vt:variant>
      <vt:variant>
        <vt:i4>0</vt:i4>
      </vt:variant>
      <vt:variant>
        <vt:i4>5</vt:i4>
      </vt:variant>
      <vt:variant>
        <vt:lpwstr>https://eur-lex.europa.eu/legal-content/EN/TXT/?uri=celex:32012L0013</vt:lpwstr>
      </vt:variant>
      <vt:variant>
        <vt:lpwstr/>
      </vt:variant>
      <vt:variant>
        <vt:i4>983111</vt:i4>
      </vt:variant>
      <vt:variant>
        <vt:i4>177</vt:i4>
      </vt:variant>
      <vt:variant>
        <vt:i4>0</vt:i4>
      </vt:variant>
      <vt:variant>
        <vt:i4>5</vt:i4>
      </vt:variant>
      <vt:variant>
        <vt:lpwstr>https://eur-lex.europa.eu/legal-content/EN/TXT/?uri=celex:32010L0064</vt:lpwstr>
      </vt:variant>
      <vt:variant>
        <vt:lpwstr/>
      </vt:variant>
      <vt:variant>
        <vt:i4>983111</vt:i4>
      </vt:variant>
      <vt:variant>
        <vt:i4>174</vt:i4>
      </vt:variant>
      <vt:variant>
        <vt:i4>0</vt:i4>
      </vt:variant>
      <vt:variant>
        <vt:i4>5</vt:i4>
      </vt:variant>
      <vt:variant>
        <vt:lpwstr>https://eur-lex.europa.eu/legal-content/EN/TXT/?uri=celex:32010L0064</vt:lpwstr>
      </vt:variant>
      <vt:variant>
        <vt:lpwstr/>
      </vt:variant>
      <vt:variant>
        <vt:i4>983111</vt:i4>
      </vt:variant>
      <vt:variant>
        <vt:i4>171</vt:i4>
      </vt:variant>
      <vt:variant>
        <vt:i4>0</vt:i4>
      </vt:variant>
      <vt:variant>
        <vt:i4>5</vt:i4>
      </vt:variant>
      <vt:variant>
        <vt:lpwstr>https://eur-lex.europa.eu/legal-content/EN/TXT/?uri=celex:32010L0064</vt:lpwstr>
      </vt:variant>
      <vt:variant>
        <vt:lpwstr/>
      </vt:variant>
      <vt:variant>
        <vt:i4>327754</vt:i4>
      </vt:variant>
      <vt:variant>
        <vt:i4>168</vt:i4>
      </vt:variant>
      <vt:variant>
        <vt:i4>0</vt:i4>
      </vt:variant>
      <vt:variant>
        <vt:i4>5</vt:i4>
      </vt:variant>
      <vt:variant>
        <vt:lpwstr>https://eur-lex.europa.eu/legal-content/EN/TXT/?uri=celex:32019L1937</vt:lpwstr>
      </vt:variant>
      <vt:variant>
        <vt:lpwstr/>
      </vt:variant>
      <vt:variant>
        <vt:i4>327754</vt:i4>
      </vt:variant>
      <vt:variant>
        <vt:i4>165</vt:i4>
      </vt:variant>
      <vt:variant>
        <vt:i4>0</vt:i4>
      </vt:variant>
      <vt:variant>
        <vt:i4>5</vt:i4>
      </vt:variant>
      <vt:variant>
        <vt:lpwstr>https://eur-lex.europa.eu/legal-content/EN/TXT/?uri=celex:32019L1937</vt:lpwstr>
      </vt:variant>
      <vt:variant>
        <vt:lpwstr/>
      </vt:variant>
      <vt:variant>
        <vt:i4>327754</vt:i4>
      </vt:variant>
      <vt:variant>
        <vt:i4>162</vt:i4>
      </vt:variant>
      <vt:variant>
        <vt:i4>0</vt:i4>
      </vt:variant>
      <vt:variant>
        <vt:i4>5</vt:i4>
      </vt:variant>
      <vt:variant>
        <vt:lpwstr>https://eur-lex.europa.eu/legal-content/EN/TXT/?uri=celex:32019L1937</vt:lpwstr>
      </vt:variant>
      <vt:variant>
        <vt:lpwstr/>
      </vt:variant>
      <vt:variant>
        <vt:i4>1703960</vt:i4>
      </vt:variant>
      <vt:variant>
        <vt:i4>159</vt:i4>
      </vt:variant>
      <vt:variant>
        <vt:i4>0</vt:i4>
      </vt:variant>
      <vt:variant>
        <vt:i4>5</vt:i4>
      </vt:variant>
      <vt:variant>
        <vt:lpwstr>https://eur-lex.europa.eu/legal-</vt:lpwstr>
      </vt:variant>
      <vt:variant>
        <vt:lpwstr/>
      </vt:variant>
      <vt:variant>
        <vt:i4>3080244</vt:i4>
      </vt:variant>
      <vt:variant>
        <vt:i4>156</vt:i4>
      </vt:variant>
      <vt:variant>
        <vt:i4>0</vt:i4>
      </vt:variant>
      <vt:variant>
        <vt:i4>5</vt:i4>
      </vt:variant>
      <vt:variant>
        <vt:lpwstr>http://eur-lex.europa.eu/legal-content/EN/TXT/?uri=CELEX:32014R0910</vt:lpwstr>
      </vt:variant>
      <vt:variant>
        <vt:lpwstr/>
      </vt:variant>
      <vt:variant>
        <vt:i4>3080244</vt:i4>
      </vt:variant>
      <vt:variant>
        <vt:i4>153</vt:i4>
      </vt:variant>
      <vt:variant>
        <vt:i4>0</vt:i4>
      </vt:variant>
      <vt:variant>
        <vt:i4>5</vt:i4>
      </vt:variant>
      <vt:variant>
        <vt:lpwstr>http://eur-lex.europa.eu/legal-content/EN/TXT/?uri=CELEX:32014R0910</vt:lpwstr>
      </vt:variant>
      <vt:variant>
        <vt:lpwstr/>
      </vt:variant>
      <vt:variant>
        <vt:i4>2949180</vt:i4>
      </vt:variant>
      <vt:variant>
        <vt:i4>150</vt:i4>
      </vt:variant>
      <vt:variant>
        <vt:i4>0</vt:i4>
      </vt:variant>
      <vt:variant>
        <vt:i4>5</vt:i4>
      </vt:variant>
      <vt:variant>
        <vt:lpwstr>http://eur-lex.europa.eu/legal-content/EN/TXT/?uri=CELEX:32016R1104</vt:lpwstr>
      </vt:variant>
      <vt:variant>
        <vt:lpwstr/>
      </vt:variant>
      <vt:variant>
        <vt:i4>2949180</vt:i4>
      </vt:variant>
      <vt:variant>
        <vt:i4>147</vt:i4>
      </vt:variant>
      <vt:variant>
        <vt:i4>0</vt:i4>
      </vt:variant>
      <vt:variant>
        <vt:i4>5</vt:i4>
      </vt:variant>
      <vt:variant>
        <vt:lpwstr>http://eur-lex.europa.eu/legal-content/EN/TXT/?uri=CELEX:32016R1104</vt:lpwstr>
      </vt:variant>
      <vt:variant>
        <vt:lpwstr/>
      </vt:variant>
      <vt:variant>
        <vt:i4>2949180</vt:i4>
      </vt:variant>
      <vt:variant>
        <vt:i4>144</vt:i4>
      </vt:variant>
      <vt:variant>
        <vt:i4>0</vt:i4>
      </vt:variant>
      <vt:variant>
        <vt:i4>5</vt:i4>
      </vt:variant>
      <vt:variant>
        <vt:lpwstr>http://eur-lex.europa.eu/legal-content/EN/TXT/?uri=CELEX:32016R1103</vt:lpwstr>
      </vt:variant>
      <vt:variant>
        <vt:lpwstr/>
      </vt:variant>
      <vt:variant>
        <vt:i4>2949180</vt:i4>
      </vt:variant>
      <vt:variant>
        <vt:i4>141</vt:i4>
      </vt:variant>
      <vt:variant>
        <vt:i4>0</vt:i4>
      </vt:variant>
      <vt:variant>
        <vt:i4>5</vt:i4>
      </vt:variant>
      <vt:variant>
        <vt:lpwstr>http://eur-lex.europa.eu/legal-content/EN/TXT/?uri=CELEX:32016R1103</vt:lpwstr>
      </vt:variant>
      <vt:variant>
        <vt:lpwstr/>
      </vt:variant>
      <vt:variant>
        <vt:i4>7602276</vt:i4>
      </vt:variant>
      <vt:variant>
        <vt:i4>138</vt:i4>
      </vt:variant>
      <vt:variant>
        <vt:i4>0</vt:i4>
      </vt:variant>
      <vt:variant>
        <vt:i4>5</vt:i4>
      </vt:variant>
      <vt:variant>
        <vt:lpwstr>https://eur-lex.europa.eu/eli/reg/2019/1111/oj/eng</vt:lpwstr>
      </vt:variant>
      <vt:variant>
        <vt:lpwstr/>
      </vt:variant>
      <vt:variant>
        <vt:i4>2359356</vt:i4>
      </vt:variant>
      <vt:variant>
        <vt:i4>135</vt:i4>
      </vt:variant>
      <vt:variant>
        <vt:i4>0</vt:i4>
      </vt:variant>
      <vt:variant>
        <vt:i4>5</vt:i4>
      </vt:variant>
      <vt:variant>
        <vt:lpwstr>http://eur-lex.europa.eu/legal-content/EN/TXT/?uri=CELEX:32016R1191</vt:lpwstr>
      </vt:variant>
      <vt:variant>
        <vt:lpwstr/>
      </vt:variant>
      <vt:variant>
        <vt:i4>2359356</vt:i4>
      </vt:variant>
      <vt:variant>
        <vt:i4>132</vt:i4>
      </vt:variant>
      <vt:variant>
        <vt:i4>0</vt:i4>
      </vt:variant>
      <vt:variant>
        <vt:i4>5</vt:i4>
      </vt:variant>
      <vt:variant>
        <vt:lpwstr>http://eur-lex.europa.eu/legal-content/EN/TXT/?uri=CELEX:32016R1191</vt:lpwstr>
      </vt:variant>
      <vt:variant>
        <vt:lpwstr/>
      </vt:variant>
      <vt:variant>
        <vt:i4>3080249</vt:i4>
      </vt:variant>
      <vt:variant>
        <vt:i4>129</vt:i4>
      </vt:variant>
      <vt:variant>
        <vt:i4>0</vt:i4>
      </vt:variant>
      <vt:variant>
        <vt:i4>5</vt:i4>
      </vt:variant>
      <vt:variant>
        <vt:lpwstr>http://eur-lex.europa.eu/legal-content/EN/TXT/?uri=CELEX:32015R2421</vt:lpwstr>
      </vt:variant>
      <vt:variant>
        <vt:lpwstr/>
      </vt:variant>
      <vt:variant>
        <vt:i4>3080249</vt:i4>
      </vt:variant>
      <vt:variant>
        <vt:i4>126</vt:i4>
      </vt:variant>
      <vt:variant>
        <vt:i4>0</vt:i4>
      </vt:variant>
      <vt:variant>
        <vt:i4>5</vt:i4>
      </vt:variant>
      <vt:variant>
        <vt:lpwstr>http://eur-lex.europa.eu/legal-content/EN/TXT/?uri=CELEX:32015R2421</vt:lpwstr>
      </vt:variant>
      <vt:variant>
        <vt:lpwstr/>
      </vt:variant>
      <vt:variant>
        <vt:i4>2818101</vt:i4>
      </vt:variant>
      <vt:variant>
        <vt:i4>123</vt:i4>
      </vt:variant>
      <vt:variant>
        <vt:i4>0</vt:i4>
      </vt:variant>
      <vt:variant>
        <vt:i4>5</vt:i4>
      </vt:variant>
      <vt:variant>
        <vt:lpwstr>http://eur-lex.europa.eu/legal-content/EN/TXT/?uri=CELEX:32015R0848</vt:lpwstr>
      </vt:variant>
      <vt:variant>
        <vt:lpwstr/>
      </vt:variant>
      <vt:variant>
        <vt:i4>2818101</vt:i4>
      </vt:variant>
      <vt:variant>
        <vt:i4>120</vt:i4>
      </vt:variant>
      <vt:variant>
        <vt:i4>0</vt:i4>
      </vt:variant>
      <vt:variant>
        <vt:i4>5</vt:i4>
      </vt:variant>
      <vt:variant>
        <vt:lpwstr>http://eur-lex.europa.eu/legal-content/EN/TXT/?uri=CELEX:32015R0848</vt:lpwstr>
      </vt:variant>
      <vt:variant>
        <vt:lpwstr/>
      </vt:variant>
      <vt:variant>
        <vt:i4>2818107</vt:i4>
      </vt:variant>
      <vt:variant>
        <vt:i4>117</vt:i4>
      </vt:variant>
      <vt:variant>
        <vt:i4>0</vt:i4>
      </vt:variant>
      <vt:variant>
        <vt:i4>5</vt:i4>
      </vt:variant>
      <vt:variant>
        <vt:lpwstr>http://eur-lex.europa.eu/legal-content/EN/TXT/?uri=CELEX:32014R0655</vt:lpwstr>
      </vt:variant>
      <vt:variant>
        <vt:lpwstr/>
      </vt:variant>
      <vt:variant>
        <vt:i4>2818107</vt:i4>
      </vt:variant>
      <vt:variant>
        <vt:i4>114</vt:i4>
      </vt:variant>
      <vt:variant>
        <vt:i4>0</vt:i4>
      </vt:variant>
      <vt:variant>
        <vt:i4>5</vt:i4>
      </vt:variant>
      <vt:variant>
        <vt:lpwstr>http://eur-lex.europa.eu/legal-content/EN/TXT/?uri=CELEX:32014R0655</vt:lpwstr>
      </vt:variant>
      <vt:variant>
        <vt:lpwstr/>
      </vt:variant>
      <vt:variant>
        <vt:i4>1310795</vt:i4>
      </vt:variant>
      <vt:variant>
        <vt:i4>111</vt:i4>
      </vt:variant>
      <vt:variant>
        <vt:i4>0</vt:i4>
      </vt:variant>
      <vt:variant>
        <vt:i4>5</vt:i4>
      </vt:variant>
      <vt:variant>
        <vt:lpwstr>https://eur-lex.europa.eu/legal-content/EN/TXT/?uri=CELEX:32013R1382</vt:lpwstr>
      </vt:variant>
      <vt:variant>
        <vt:lpwstr/>
      </vt:variant>
      <vt:variant>
        <vt:i4>1310795</vt:i4>
      </vt:variant>
      <vt:variant>
        <vt:i4>108</vt:i4>
      </vt:variant>
      <vt:variant>
        <vt:i4>0</vt:i4>
      </vt:variant>
      <vt:variant>
        <vt:i4>5</vt:i4>
      </vt:variant>
      <vt:variant>
        <vt:lpwstr>https://eur-lex.europa.eu/legal-content/EN/TXT/?uri=CELEX:32013R1382</vt:lpwstr>
      </vt:variant>
      <vt:variant>
        <vt:lpwstr/>
      </vt:variant>
      <vt:variant>
        <vt:i4>4587541</vt:i4>
      </vt:variant>
      <vt:variant>
        <vt:i4>105</vt:i4>
      </vt:variant>
      <vt:variant>
        <vt:i4>0</vt:i4>
      </vt:variant>
      <vt:variant>
        <vt:i4>5</vt:i4>
      </vt:variant>
      <vt:variant>
        <vt:lpwstr>http://data.europa.eu/eli/reg/2021/693/oj</vt:lpwstr>
      </vt:variant>
      <vt:variant>
        <vt:lpwstr/>
      </vt:variant>
      <vt:variant>
        <vt:i4>1638455</vt:i4>
      </vt:variant>
      <vt:variant>
        <vt:i4>98</vt:i4>
      </vt:variant>
      <vt:variant>
        <vt:i4>0</vt:i4>
      </vt:variant>
      <vt:variant>
        <vt:i4>5</vt:i4>
      </vt:variant>
      <vt:variant>
        <vt:lpwstr/>
      </vt:variant>
      <vt:variant>
        <vt:lpwstr>_Toc201679314</vt:lpwstr>
      </vt:variant>
      <vt:variant>
        <vt:i4>1638455</vt:i4>
      </vt:variant>
      <vt:variant>
        <vt:i4>92</vt:i4>
      </vt:variant>
      <vt:variant>
        <vt:i4>0</vt:i4>
      </vt:variant>
      <vt:variant>
        <vt:i4>5</vt:i4>
      </vt:variant>
      <vt:variant>
        <vt:lpwstr/>
      </vt:variant>
      <vt:variant>
        <vt:lpwstr>_Toc201679313</vt:lpwstr>
      </vt:variant>
      <vt:variant>
        <vt:i4>1638455</vt:i4>
      </vt:variant>
      <vt:variant>
        <vt:i4>86</vt:i4>
      </vt:variant>
      <vt:variant>
        <vt:i4>0</vt:i4>
      </vt:variant>
      <vt:variant>
        <vt:i4>5</vt:i4>
      </vt:variant>
      <vt:variant>
        <vt:lpwstr/>
      </vt:variant>
      <vt:variant>
        <vt:lpwstr>_Toc201679312</vt:lpwstr>
      </vt:variant>
      <vt:variant>
        <vt:i4>1638455</vt:i4>
      </vt:variant>
      <vt:variant>
        <vt:i4>80</vt:i4>
      </vt:variant>
      <vt:variant>
        <vt:i4>0</vt:i4>
      </vt:variant>
      <vt:variant>
        <vt:i4>5</vt:i4>
      </vt:variant>
      <vt:variant>
        <vt:lpwstr/>
      </vt:variant>
      <vt:variant>
        <vt:lpwstr>_Toc201679311</vt:lpwstr>
      </vt:variant>
      <vt:variant>
        <vt:i4>1638455</vt:i4>
      </vt:variant>
      <vt:variant>
        <vt:i4>74</vt:i4>
      </vt:variant>
      <vt:variant>
        <vt:i4>0</vt:i4>
      </vt:variant>
      <vt:variant>
        <vt:i4>5</vt:i4>
      </vt:variant>
      <vt:variant>
        <vt:lpwstr/>
      </vt:variant>
      <vt:variant>
        <vt:lpwstr>_Toc201679310</vt:lpwstr>
      </vt:variant>
      <vt:variant>
        <vt:i4>1572919</vt:i4>
      </vt:variant>
      <vt:variant>
        <vt:i4>68</vt:i4>
      </vt:variant>
      <vt:variant>
        <vt:i4>0</vt:i4>
      </vt:variant>
      <vt:variant>
        <vt:i4>5</vt:i4>
      </vt:variant>
      <vt:variant>
        <vt:lpwstr/>
      </vt:variant>
      <vt:variant>
        <vt:lpwstr>_Toc201679309</vt:lpwstr>
      </vt:variant>
      <vt:variant>
        <vt:i4>1572919</vt:i4>
      </vt:variant>
      <vt:variant>
        <vt:i4>62</vt:i4>
      </vt:variant>
      <vt:variant>
        <vt:i4>0</vt:i4>
      </vt:variant>
      <vt:variant>
        <vt:i4>5</vt:i4>
      </vt:variant>
      <vt:variant>
        <vt:lpwstr/>
      </vt:variant>
      <vt:variant>
        <vt:lpwstr>_Toc201679308</vt:lpwstr>
      </vt:variant>
      <vt:variant>
        <vt:i4>1572919</vt:i4>
      </vt:variant>
      <vt:variant>
        <vt:i4>56</vt:i4>
      </vt:variant>
      <vt:variant>
        <vt:i4>0</vt:i4>
      </vt:variant>
      <vt:variant>
        <vt:i4>5</vt:i4>
      </vt:variant>
      <vt:variant>
        <vt:lpwstr/>
      </vt:variant>
      <vt:variant>
        <vt:lpwstr>_Toc201679307</vt:lpwstr>
      </vt:variant>
      <vt:variant>
        <vt:i4>1572919</vt:i4>
      </vt:variant>
      <vt:variant>
        <vt:i4>50</vt:i4>
      </vt:variant>
      <vt:variant>
        <vt:i4>0</vt:i4>
      </vt:variant>
      <vt:variant>
        <vt:i4>5</vt:i4>
      </vt:variant>
      <vt:variant>
        <vt:lpwstr/>
      </vt:variant>
      <vt:variant>
        <vt:lpwstr>_Toc201679306</vt:lpwstr>
      </vt:variant>
      <vt:variant>
        <vt:i4>1572919</vt:i4>
      </vt:variant>
      <vt:variant>
        <vt:i4>44</vt:i4>
      </vt:variant>
      <vt:variant>
        <vt:i4>0</vt:i4>
      </vt:variant>
      <vt:variant>
        <vt:i4>5</vt:i4>
      </vt:variant>
      <vt:variant>
        <vt:lpwstr/>
      </vt:variant>
      <vt:variant>
        <vt:lpwstr>_Toc201679305</vt:lpwstr>
      </vt:variant>
      <vt:variant>
        <vt:i4>1572919</vt:i4>
      </vt:variant>
      <vt:variant>
        <vt:i4>38</vt:i4>
      </vt:variant>
      <vt:variant>
        <vt:i4>0</vt:i4>
      </vt:variant>
      <vt:variant>
        <vt:i4>5</vt:i4>
      </vt:variant>
      <vt:variant>
        <vt:lpwstr/>
      </vt:variant>
      <vt:variant>
        <vt:lpwstr>_Toc201679304</vt:lpwstr>
      </vt:variant>
      <vt:variant>
        <vt:i4>1572919</vt:i4>
      </vt:variant>
      <vt:variant>
        <vt:i4>32</vt:i4>
      </vt:variant>
      <vt:variant>
        <vt:i4>0</vt:i4>
      </vt:variant>
      <vt:variant>
        <vt:i4>5</vt:i4>
      </vt:variant>
      <vt:variant>
        <vt:lpwstr/>
      </vt:variant>
      <vt:variant>
        <vt:lpwstr>_Toc201679303</vt:lpwstr>
      </vt:variant>
      <vt:variant>
        <vt:i4>1572919</vt:i4>
      </vt:variant>
      <vt:variant>
        <vt:i4>26</vt:i4>
      </vt:variant>
      <vt:variant>
        <vt:i4>0</vt:i4>
      </vt:variant>
      <vt:variant>
        <vt:i4>5</vt:i4>
      </vt:variant>
      <vt:variant>
        <vt:lpwstr/>
      </vt:variant>
      <vt:variant>
        <vt:lpwstr>_Toc201679302</vt:lpwstr>
      </vt:variant>
      <vt:variant>
        <vt:i4>1572919</vt:i4>
      </vt:variant>
      <vt:variant>
        <vt:i4>20</vt:i4>
      </vt:variant>
      <vt:variant>
        <vt:i4>0</vt:i4>
      </vt:variant>
      <vt:variant>
        <vt:i4>5</vt:i4>
      </vt:variant>
      <vt:variant>
        <vt:lpwstr/>
      </vt:variant>
      <vt:variant>
        <vt:lpwstr>_Toc201679301</vt:lpwstr>
      </vt:variant>
      <vt:variant>
        <vt:i4>1572919</vt:i4>
      </vt:variant>
      <vt:variant>
        <vt:i4>14</vt:i4>
      </vt:variant>
      <vt:variant>
        <vt:i4>0</vt:i4>
      </vt:variant>
      <vt:variant>
        <vt:i4>5</vt:i4>
      </vt:variant>
      <vt:variant>
        <vt:lpwstr/>
      </vt:variant>
      <vt:variant>
        <vt:lpwstr>_Toc201679300</vt:lpwstr>
      </vt:variant>
      <vt:variant>
        <vt:i4>1114166</vt:i4>
      </vt:variant>
      <vt:variant>
        <vt:i4>8</vt:i4>
      </vt:variant>
      <vt:variant>
        <vt:i4>0</vt:i4>
      </vt:variant>
      <vt:variant>
        <vt:i4>5</vt:i4>
      </vt:variant>
      <vt:variant>
        <vt:lpwstr/>
      </vt:variant>
      <vt:variant>
        <vt:lpwstr>_Toc201679299</vt:lpwstr>
      </vt:variant>
      <vt:variant>
        <vt:i4>1114166</vt:i4>
      </vt:variant>
      <vt:variant>
        <vt:i4>2</vt:i4>
      </vt:variant>
      <vt:variant>
        <vt:i4>0</vt:i4>
      </vt:variant>
      <vt:variant>
        <vt:i4>5</vt:i4>
      </vt:variant>
      <vt:variant>
        <vt:lpwstr/>
      </vt:variant>
      <vt:variant>
        <vt:lpwstr>_Toc201679298</vt:lpwstr>
      </vt:variant>
      <vt:variant>
        <vt:i4>2949165</vt:i4>
      </vt:variant>
      <vt:variant>
        <vt:i4>33</vt:i4>
      </vt:variant>
      <vt:variant>
        <vt:i4>0</vt:i4>
      </vt:variant>
      <vt:variant>
        <vt:i4>5</vt:i4>
      </vt:variant>
      <vt:variant>
        <vt:lpwstr>http://eur-lex.europa.eu/legal-content/EN/TXT/?uri=CELEX:32006D0719</vt:lpwstr>
      </vt:variant>
      <vt:variant>
        <vt:lpwstr/>
      </vt:variant>
      <vt:variant>
        <vt:i4>1966099</vt:i4>
      </vt:variant>
      <vt:variant>
        <vt:i4>30</vt:i4>
      </vt:variant>
      <vt:variant>
        <vt:i4>0</vt:i4>
      </vt:variant>
      <vt:variant>
        <vt:i4>5</vt:i4>
      </vt:variant>
      <vt:variant>
        <vt:lpwstr>https://ec.europa.eu/info/funding-tenders/opportunities/docs/2021-2027/just/guidance/list-3rd-country-participation_just_en.pdf</vt:lpwstr>
      </vt:variant>
      <vt:variant>
        <vt:lpwstr/>
      </vt:variant>
      <vt:variant>
        <vt:i4>7864416</vt:i4>
      </vt:variant>
      <vt:variant>
        <vt:i4>27</vt:i4>
      </vt:variant>
      <vt:variant>
        <vt:i4>0</vt:i4>
      </vt:variant>
      <vt:variant>
        <vt:i4>5</vt:i4>
      </vt:variant>
      <vt:variant>
        <vt:lpwstr>https://eur-lex.europa.eu/legal-content/en/ALL/?uri=CELEX%3A32016L1919</vt:lpwstr>
      </vt:variant>
      <vt:variant>
        <vt:lpwstr/>
      </vt:variant>
      <vt:variant>
        <vt:i4>8192116</vt:i4>
      </vt:variant>
      <vt:variant>
        <vt:i4>24</vt:i4>
      </vt:variant>
      <vt:variant>
        <vt:i4>0</vt:i4>
      </vt:variant>
      <vt:variant>
        <vt:i4>5</vt:i4>
      </vt:variant>
      <vt:variant>
        <vt:lpwstr>https://eur-lex.europa.eu/legal-content/EN/TXT/?uri=CELEX%3A32016L0800</vt:lpwstr>
      </vt:variant>
      <vt:variant>
        <vt:lpwstr/>
      </vt:variant>
      <vt:variant>
        <vt:i4>7864420</vt:i4>
      </vt:variant>
      <vt:variant>
        <vt:i4>21</vt:i4>
      </vt:variant>
      <vt:variant>
        <vt:i4>0</vt:i4>
      </vt:variant>
      <vt:variant>
        <vt:i4>5</vt:i4>
      </vt:variant>
      <vt:variant>
        <vt:lpwstr>https://eur-lex.europa.eu/legal-content/EN/ALL/?uri=CELEX%3A32016L0343</vt:lpwstr>
      </vt:variant>
      <vt:variant>
        <vt:lpwstr/>
      </vt:variant>
      <vt:variant>
        <vt:i4>8192117</vt:i4>
      </vt:variant>
      <vt:variant>
        <vt:i4>18</vt:i4>
      </vt:variant>
      <vt:variant>
        <vt:i4>0</vt:i4>
      </vt:variant>
      <vt:variant>
        <vt:i4>5</vt:i4>
      </vt:variant>
      <vt:variant>
        <vt:lpwstr>https://eur-lex.europa.eu/legal-content/EN/TXT/?uri=celex%3A32013L0048</vt:lpwstr>
      </vt:variant>
      <vt:variant>
        <vt:lpwstr/>
      </vt:variant>
      <vt:variant>
        <vt:i4>458816</vt:i4>
      </vt:variant>
      <vt:variant>
        <vt:i4>15</vt:i4>
      </vt:variant>
      <vt:variant>
        <vt:i4>0</vt:i4>
      </vt:variant>
      <vt:variant>
        <vt:i4>5</vt:i4>
      </vt:variant>
      <vt:variant>
        <vt:lpwstr>https://eur-lex.europa.eu/legal-content/GA/TXT/?uri=celex:32012L0013</vt:lpwstr>
      </vt:variant>
      <vt:variant>
        <vt:lpwstr/>
      </vt:variant>
      <vt:variant>
        <vt:i4>7405684</vt:i4>
      </vt:variant>
      <vt:variant>
        <vt:i4>12</vt:i4>
      </vt:variant>
      <vt:variant>
        <vt:i4>0</vt:i4>
      </vt:variant>
      <vt:variant>
        <vt:i4>5</vt:i4>
      </vt:variant>
      <vt:variant>
        <vt:lpwstr>https://eur-lex.europa.eu/legal-content/EN/TXT/?uri=celex%3A32010L0064</vt:lpwstr>
      </vt:variant>
      <vt:variant>
        <vt:lpwstr/>
      </vt:variant>
      <vt:variant>
        <vt:i4>5505119</vt:i4>
      </vt:variant>
      <vt:variant>
        <vt:i4>9</vt:i4>
      </vt:variant>
      <vt:variant>
        <vt:i4>0</vt:i4>
      </vt:variant>
      <vt:variant>
        <vt:i4>5</vt:i4>
      </vt:variant>
      <vt:variant>
        <vt:lpwstr>https://eur-lex.europa.eu/legal-content/EN/TXT/PDF/?uri=CELEX:32018R1805&amp;from=EN.</vt:lpwstr>
      </vt:variant>
      <vt:variant>
        <vt:lpwstr/>
      </vt:variant>
      <vt:variant>
        <vt:i4>131149</vt:i4>
      </vt:variant>
      <vt:variant>
        <vt:i4>6</vt:i4>
      </vt:variant>
      <vt:variant>
        <vt:i4>0</vt:i4>
      </vt:variant>
      <vt:variant>
        <vt:i4>5</vt:i4>
      </vt:variant>
      <vt:variant>
        <vt:lpwstr>https://www.consilium.europa.eu/en/press/press-releases/2024/12/12/justice-and-home-affairs-ministers-define-priorities-for-next-five-years/</vt:lpwstr>
      </vt:variant>
      <vt:variant>
        <vt:lpwstr/>
      </vt:variant>
      <vt:variant>
        <vt:i4>458817</vt:i4>
      </vt:variant>
      <vt:variant>
        <vt:i4>3</vt:i4>
      </vt:variant>
      <vt:variant>
        <vt:i4>0</vt:i4>
      </vt:variant>
      <vt:variant>
        <vt:i4>5</vt:i4>
      </vt:variant>
      <vt:variant>
        <vt:lpwstr>https://eur-lex.europa.eu/legal-content/EN/ALL/?uri=COM:2019:343:FIN</vt:lpwstr>
      </vt:variant>
      <vt:variant>
        <vt:lpwstr/>
      </vt:variant>
      <vt:variant>
        <vt:i4>1179761</vt:i4>
      </vt:variant>
      <vt:variant>
        <vt:i4>0</vt:i4>
      </vt:variant>
      <vt:variant>
        <vt:i4>0</vt:i4>
      </vt:variant>
      <vt:variant>
        <vt:i4>5</vt:i4>
      </vt:variant>
      <vt:variant>
        <vt:lpwstr>https://commission.europa.eu/document/e6cd4328-673c-4e7a-8683-f63ffb2cf648_en</vt:lpwstr>
      </vt:variant>
      <vt:variant>
        <vt:lpwstr/>
      </vt:variant>
      <vt:variant>
        <vt:i4>6553614</vt:i4>
      </vt:variant>
      <vt:variant>
        <vt:i4>9</vt:i4>
      </vt:variant>
      <vt:variant>
        <vt:i4>0</vt:i4>
      </vt:variant>
      <vt:variant>
        <vt:i4>5</vt:i4>
      </vt:variant>
      <vt:variant>
        <vt:lpwstr>https://ec.europa.eu/newsroom/dg_translation/newsletter-archives/59722</vt:lpwstr>
      </vt:variant>
      <vt:variant>
        <vt:lpwstr/>
      </vt:variant>
      <vt:variant>
        <vt:i4>6619251</vt:i4>
      </vt:variant>
      <vt:variant>
        <vt:i4>6</vt:i4>
      </vt:variant>
      <vt:variant>
        <vt:i4>0</vt:i4>
      </vt:variant>
      <vt:variant>
        <vt:i4>5</vt:i4>
      </vt:variant>
      <vt:variant>
        <vt:lpwstr>https://eceuropaeu.sharepoint.com/sites/sg-activities/Shared Documents/european-commission-style-guide-en.pdf?web=1</vt:lpwstr>
      </vt:variant>
      <vt:variant>
        <vt:lpwstr/>
      </vt:variant>
      <vt:variant>
        <vt:i4>6619251</vt:i4>
      </vt:variant>
      <vt:variant>
        <vt:i4>3</vt:i4>
      </vt:variant>
      <vt:variant>
        <vt:i4>0</vt:i4>
      </vt:variant>
      <vt:variant>
        <vt:i4>5</vt:i4>
      </vt:variant>
      <vt:variant>
        <vt:lpwstr>https://eceuropaeu.sharepoint.com/sites/sg-activities/Shared Documents/european-commission-style-guide-en.pdf?web=1</vt:lpwstr>
      </vt:variant>
      <vt:variant>
        <vt:lpwstr/>
      </vt:variant>
      <vt:variant>
        <vt:i4>6619251</vt:i4>
      </vt:variant>
      <vt:variant>
        <vt:i4>0</vt:i4>
      </vt:variant>
      <vt:variant>
        <vt:i4>0</vt:i4>
      </vt:variant>
      <vt:variant>
        <vt:i4>5</vt:i4>
      </vt:variant>
      <vt:variant>
        <vt:lpwstr>https://eceuropaeu.sharepoint.com/sites/sg-activities/Shared Documents/european-commission-style-guide-en.pdf?web=1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HEST Isabelle (DGT)</dc:creator>
  <cp:keywords/>
  <dc:description/>
  <cp:lastModifiedBy>MAGLI Mia (JUST)</cp:lastModifiedBy>
  <cp:revision>3</cp:revision>
  <cp:lastPrinted>2025-09-23T13:28:00Z</cp:lastPrinted>
  <dcterms:created xsi:type="dcterms:W3CDTF">2025-09-26T06:55:00Z</dcterms:created>
  <dcterms:modified xsi:type="dcterms:W3CDTF">2025-09-26T06:58:00Z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2025-07-22T12:31:53Z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081059b2-6b13-40cc-abf3-65f3db72d1bd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DQCStatus">
    <vt:lpwstr>Yellow (DQC version 03)</vt:lpwstr>
  </property>
  <property fmtid="{D5CDD505-2E9C-101B-9397-08002B2CF9AE}" pid="11" name="Level of sensitivity">
    <vt:lpwstr>Standard treatment</vt:lpwstr>
  </property>
  <property fmtid="{D5CDD505-2E9C-101B-9397-08002B2CF9AE}" pid="12" name="Category">
    <vt:lpwstr>COM/ANNEX</vt:lpwstr>
  </property>
  <property fmtid="{D5CDD505-2E9C-101B-9397-08002B2CF9AE}" pid="13" name="Last edited using">
    <vt:lpwstr>LW 9.1, Build 20240808</vt:lpwstr>
  </property>
  <property fmtid="{D5CDD505-2E9C-101B-9397-08002B2CF9AE}" pid="14" name="MSIP_Label_b3564849-fbfc-4795-ad59-055bb350645f_Enabled">
    <vt:lpwstr>true</vt:lpwstr>
  </property>
  <property fmtid="{D5CDD505-2E9C-101B-9397-08002B2CF9AE}" pid="15" name="MSIP_Label_b3564849-fbfc-4795-ad59-055bb350645f_SetDate">
    <vt:lpwstr>2025-09-12T10:56:36Z</vt:lpwstr>
  </property>
  <property fmtid="{D5CDD505-2E9C-101B-9397-08002B2CF9AE}" pid="16" name="MSIP_Label_b3564849-fbfc-4795-ad59-055bb350645f_Method">
    <vt:lpwstr>Standard</vt:lpwstr>
  </property>
  <property fmtid="{D5CDD505-2E9C-101B-9397-08002B2CF9AE}" pid="17" name="MSIP_Label_b3564849-fbfc-4795-ad59-055bb350645f_Name">
    <vt:lpwstr>M102S01</vt:lpwstr>
  </property>
  <property fmtid="{D5CDD505-2E9C-101B-9397-08002B2CF9AE}" pid="18" name="MSIP_Label_b3564849-fbfc-4795-ad59-055bb350645f_SiteId">
    <vt:lpwstr>65154e19-ce31-44e2-97af-2480f4c17f95</vt:lpwstr>
  </property>
  <property fmtid="{D5CDD505-2E9C-101B-9397-08002B2CF9AE}" pid="19" name="MSIP_Label_b3564849-fbfc-4795-ad59-055bb350645f_ActionId">
    <vt:lpwstr>cfa59930-fb92-46a2-8209-061a46239f2b</vt:lpwstr>
  </property>
  <property fmtid="{D5CDD505-2E9C-101B-9397-08002B2CF9AE}" pid="20" name="MSIP_Label_b3564849-fbfc-4795-ad59-055bb350645f_ContentBits">
    <vt:lpwstr>0</vt:lpwstr>
  </property>
  <property fmtid="{D5CDD505-2E9C-101B-9397-08002B2CF9AE}" pid="21" name="MSIP_Label_b3564849-fbfc-4795-ad59-055bb350645f_Tag">
    <vt:lpwstr>10, 3, 0, 1</vt:lpwstr>
  </property>
</Properties>
</file>